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2BA" w:rsidRDefault="009B62BA" w:rsidP="009B62BA">
      <w:pPr>
        <w:jc w:val="center"/>
        <w:rPr>
          <w:b/>
          <w:sz w:val="32"/>
          <w:lang w:val="is-IS"/>
        </w:rPr>
      </w:pPr>
      <w:r>
        <w:rPr>
          <w:b/>
          <w:sz w:val="32"/>
          <w:lang w:val="is-IS"/>
        </w:rPr>
        <w:t>Reglugerð</w:t>
      </w:r>
    </w:p>
    <w:p w:rsidR="009B62BA" w:rsidRDefault="009B62BA" w:rsidP="009B62BA">
      <w:pPr>
        <w:jc w:val="center"/>
        <w:rPr>
          <w:b/>
          <w:sz w:val="8"/>
          <w:lang w:val="is-IS"/>
        </w:rPr>
      </w:pPr>
    </w:p>
    <w:p w:rsidR="009B62BA" w:rsidRDefault="009B62BA" w:rsidP="009B62BA">
      <w:pPr>
        <w:jc w:val="center"/>
        <w:rPr>
          <w:lang w:val="is-IS"/>
        </w:rPr>
      </w:pPr>
      <w:r>
        <w:rPr>
          <w:b/>
          <w:lang w:val="is-IS"/>
        </w:rPr>
        <w:t>um breytingu á reglugerð nr. 1077/2010 um flutning á hættulegum farmi á landi.</w:t>
      </w:r>
    </w:p>
    <w:p w:rsidR="009B62BA" w:rsidRDefault="009B62BA" w:rsidP="009B62BA">
      <w:pPr>
        <w:rPr>
          <w:sz w:val="36"/>
          <w:lang w:val="is-IS"/>
        </w:rPr>
      </w:pPr>
    </w:p>
    <w:p w:rsidR="009B62BA" w:rsidRDefault="009B62BA" w:rsidP="009B62BA">
      <w:pPr>
        <w:numPr>
          <w:ilvl w:val="0"/>
          <w:numId w:val="1"/>
        </w:numPr>
        <w:jc w:val="center"/>
        <w:rPr>
          <w:b/>
          <w:lang w:val="is-IS"/>
        </w:rPr>
      </w:pPr>
      <w:r>
        <w:rPr>
          <w:b/>
          <w:lang w:val="is-IS"/>
        </w:rPr>
        <w:t>gr.</w:t>
      </w:r>
    </w:p>
    <w:p w:rsidR="009B62BA" w:rsidRPr="00161479" w:rsidRDefault="009B62BA" w:rsidP="009B62BA">
      <w:pPr>
        <w:spacing w:line="276" w:lineRule="auto"/>
        <w:jc w:val="both"/>
        <w:rPr>
          <w:lang w:val="is-IS"/>
        </w:rPr>
      </w:pPr>
      <w:r w:rsidRPr="00161479">
        <w:rPr>
          <w:lang w:val="is-IS"/>
        </w:rPr>
        <w:t>Ákvæði til bráðabirgða fellur brott.</w:t>
      </w:r>
    </w:p>
    <w:p w:rsidR="009B62BA" w:rsidRDefault="009B62BA" w:rsidP="009B62BA">
      <w:pPr>
        <w:jc w:val="center"/>
        <w:rPr>
          <w:b/>
          <w:lang w:val="is-IS"/>
        </w:rPr>
      </w:pPr>
    </w:p>
    <w:p w:rsidR="009B62BA" w:rsidRDefault="009B62BA" w:rsidP="009B62BA">
      <w:pPr>
        <w:numPr>
          <w:ilvl w:val="0"/>
          <w:numId w:val="1"/>
        </w:numPr>
        <w:jc w:val="center"/>
        <w:rPr>
          <w:b/>
          <w:lang w:val="is-IS"/>
        </w:rPr>
      </w:pPr>
      <w:r>
        <w:rPr>
          <w:b/>
          <w:lang w:val="is-IS"/>
        </w:rPr>
        <w:t>gr.</w:t>
      </w:r>
    </w:p>
    <w:p w:rsidR="009B62BA" w:rsidRDefault="009B62BA" w:rsidP="009B62BA">
      <w:pPr>
        <w:spacing w:line="276" w:lineRule="auto"/>
        <w:jc w:val="both"/>
        <w:rPr>
          <w:lang w:val="is-IS"/>
        </w:rPr>
      </w:pPr>
      <w:r>
        <w:rPr>
          <w:lang w:val="is-IS"/>
        </w:rPr>
        <w:t>Við VIII. kafla bætist nýtt ákvæði sem er svohljóðandi:</w:t>
      </w:r>
    </w:p>
    <w:p w:rsidR="009B62BA" w:rsidRDefault="009B62BA" w:rsidP="009B62BA">
      <w:pPr>
        <w:spacing w:line="276" w:lineRule="auto"/>
        <w:jc w:val="both"/>
        <w:rPr>
          <w:lang w:val="is-IS"/>
        </w:rPr>
      </w:pPr>
    </w:p>
    <w:p w:rsidR="009B62BA" w:rsidRPr="00D46C7A" w:rsidRDefault="009B62BA" w:rsidP="009B62BA">
      <w:pPr>
        <w:ind w:left="567" w:right="567"/>
        <w:rPr>
          <w:rFonts w:ascii="Times" w:hAnsi="Times" w:cs="Times"/>
          <w:i/>
          <w:color w:val="000000"/>
          <w:sz w:val="22"/>
          <w:szCs w:val="22"/>
          <w:lang w:val="is-IS" w:eastAsia="is-IS"/>
        </w:rPr>
      </w:pPr>
      <w:r w:rsidRPr="00D46C7A">
        <w:rPr>
          <w:rFonts w:ascii="Times" w:hAnsi="Times" w:cs="Times"/>
          <w:i/>
          <w:color w:val="000000"/>
          <w:sz w:val="22"/>
          <w:szCs w:val="22"/>
          <w:lang w:val="is-IS" w:eastAsia="is-IS"/>
        </w:rPr>
        <w:t>Samgöngustofu</w:t>
      </w:r>
      <w:r>
        <w:rPr>
          <w:rFonts w:ascii="Times" w:hAnsi="Times" w:cs="Times"/>
          <w:i/>
          <w:color w:val="000000"/>
          <w:sz w:val="22"/>
          <w:szCs w:val="22"/>
          <w:lang w:val="is-IS" w:eastAsia="is-IS"/>
        </w:rPr>
        <w:t xml:space="preserve"> er </w:t>
      </w:r>
      <w:r w:rsidRPr="00D46C7A">
        <w:rPr>
          <w:rFonts w:ascii="Times" w:hAnsi="Times" w:cs="Times"/>
          <w:i/>
          <w:color w:val="000000"/>
          <w:sz w:val="22"/>
          <w:szCs w:val="22"/>
          <w:lang w:val="is-IS" w:eastAsia="is-IS"/>
        </w:rPr>
        <w:t xml:space="preserve">heimilt að </w:t>
      </w:r>
      <w:r>
        <w:rPr>
          <w:rFonts w:ascii="Times" w:hAnsi="Times" w:cs="Times"/>
          <w:i/>
          <w:color w:val="000000"/>
          <w:sz w:val="22"/>
          <w:szCs w:val="22"/>
          <w:lang w:val="is-IS" w:eastAsia="is-IS"/>
        </w:rPr>
        <w:t>veita og</w:t>
      </w:r>
      <w:r w:rsidRPr="00D46C7A">
        <w:rPr>
          <w:rFonts w:ascii="Times" w:hAnsi="Times" w:cs="Times"/>
          <w:i/>
          <w:color w:val="000000"/>
          <w:sz w:val="22"/>
          <w:szCs w:val="22"/>
          <w:lang w:val="is-IS" w:eastAsia="is-IS"/>
        </w:rPr>
        <w:t xml:space="preserve"> framlengja undanþágu til 3 ára í senn, fyrir ökutæki og farmgeyma, sem framleidd voru fyrir 1.</w:t>
      </w:r>
      <w:r w:rsidR="00101DF4">
        <w:rPr>
          <w:rFonts w:ascii="Times" w:hAnsi="Times" w:cs="Times"/>
          <w:i/>
          <w:color w:val="000000"/>
          <w:sz w:val="22"/>
          <w:szCs w:val="22"/>
          <w:lang w:val="is-IS" w:eastAsia="is-IS"/>
        </w:rPr>
        <w:t xml:space="preserve"> </w:t>
      </w:r>
      <w:r w:rsidRPr="00D46C7A">
        <w:rPr>
          <w:rFonts w:ascii="Times" w:hAnsi="Times" w:cs="Times"/>
          <w:i/>
          <w:color w:val="000000"/>
          <w:sz w:val="22"/>
          <w:szCs w:val="22"/>
          <w:lang w:val="is-IS" w:eastAsia="is-IS"/>
        </w:rPr>
        <w:t xml:space="preserve">janúar 1997 og notuð hafa verið til að flytja hættulegan farm, frá ákvæðum ADR-reglna um: </w:t>
      </w:r>
    </w:p>
    <w:p w:rsidR="009B62BA" w:rsidRPr="00D46C7A" w:rsidRDefault="009B62BA" w:rsidP="009B62BA">
      <w:pPr>
        <w:ind w:left="567" w:right="567"/>
        <w:rPr>
          <w:i/>
          <w:color w:val="000000"/>
          <w:sz w:val="22"/>
          <w:szCs w:val="22"/>
          <w:lang w:val="is-IS" w:eastAsia="is-IS"/>
        </w:rPr>
      </w:pPr>
    </w:p>
    <w:p w:rsidR="009B62BA" w:rsidRPr="000560F4" w:rsidRDefault="009B62BA" w:rsidP="009B62BA">
      <w:pPr>
        <w:pStyle w:val="ListParagraph"/>
        <w:numPr>
          <w:ilvl w:val="0"/>
          <w:numId w:val="2"/>
        </w:numPr>
        <w:rPr>
          <w:i/>
          <w:sz w:val="22"/>
          <w:szCs w:val="22"/>
          <w:lang w:val="is-IS"/>
        </w:rPr>
      </w:pPr>
      <w:r w:rsidRPr="000560F4">
        <w:rPr>
          <w:i/>
          <w:sz w:val="22"/>
          <w:szCs w:val="22"/>
          <w:lang w:val="is-IS"/>
        </w:rPr>
        <w:t>ökutæki, reglum um:</w:t>
      </w:r>
    </w:p>
    <w:p w:rsidR="009B62BA" w:rsidRPr="000560F4" w:rsidRDefault="009B62BA" w:rsidP="009B62BA">
      <w:pPr>
        <w:pStyle w:val="ListParagraph"/>
        <w:numPr>
          <w:ilvl w:val="1"/>
          <w:numId w:val="2"/>
        </w:numPr>
        <w:rPr>
          <w:i/>
          <w:sz w:val="22"/>
          <w:szCs w:val="22"/>
          <w:lang w:val="is-IS"/>
        </w:rPr>
      </w:pPr>
      <w:r w:rsidRPr="000560F4">
        <w:rPr>
          <w:i/>
          <w:sz w:val="22"/>
          <w:szCs w:val="22"/>
          <w:lang w:val="is-IS"/>
        </w:rPr>
        <w:t>sérstaka vörn á rafleiðslum;</w:t>
      </w:r>
    </w:p>
    <w:p w:rsidR="009B62BA" w:rsidRPr="000560F4" w:rsidRDefault="009B62BA" w:rsidP="009B62BA">
      <w:pPr>
        <w:pStyle w:val="ListParagraph"/>
        <w:numPr>
          <w:ilvl w:val="1"/>
          <w:numId w:val="2"/>
        </w:numPr>
        <w:rPr>
          <w:i/>
          <w:sz w:val="22"/>
          <w:szCs w:val="22"/>
          <w:lang w:val="is-IS"/>
        </w:rPr>
      </w:pPr>
      <w:r w:rsidRPr="000560F4">
        <w:rPr>
          <w:i/>
          <w:sz w:val="22"/>
          <w:szCs w:val="22"/>
          <w:lang w:val="is-IS"/>
        </w:rPr>
        <w:t>sérstaka raftengingu við ökurita;</w:t>
      </w:r>
    </w:p>
    <w:p w:rsidR="009B62BA" w:rsidRPr="000560F4" w:rsidRDefault="009B62BA" w:rsidP="009B62BA">
      <w:pPr>
        <w:pStyle w:val="ListParagraph"/>
        <w:numPr>
          <w:ilvl w:val="1"/>
          <w:numId w:val="2"/>
        </w:numPr>
        <w:rPr>
          <w:i/>
          <w:sz w:val="22"/>
          <w:szCs w:val="22"/>
          <w:lang w:val="is-IS"/>
        </w:rPr>
      </w:pPr>
      <w:r w:rsidRPr="000560F4">
        <w:rPr>
          <w:i/>
          <w:sz w:val="22"/>
          <w:szCs w:val="22"/>
          <w:lang w:val="is-IS"/>
        </w:rPr>
        <w:t>vörn fyrir farmgeymi;</w:t>
      </w:r>
    </w:p>
    <w:p w:rsidR="009B62BA" w:rsidRPr="000560F4" w:rsidRDefault="009B62BA" w:rsidP="009B62BA">
      <w:pPr>
        <w:pStyle w:val="ListParagraph"/>
        <w:numPr>
          <w:ilvl w:val="1"/>
          <w:numId w:val="2"/>
        </w:numPr>
        <w:rPr>
          <w:i/>
          <w:sz w:val="22"/>
          <w:szCs w:val="22"/>
          <w:lang w:val="is-IS"/>
        </w:rPr>
      </w:pPr>
      <w:r w:rsidRPr="000560F4">
        <w:rPr>
          <w:i/>
          <w:sz w:val="22"/>
          <w:szCs w:val="22"/>
          <w:lang w:val="is-IS"/>
        </w:rPr>
        <w:t>læsivörn á hemlum;</w:t>
      </w:r>
    </w:p>
    <w:p w:rsidR="009B62BA" w:rsidRPr="000560F4" w:rsidRDefault="009B62BA" w:rsidP="009B62BA">
      <w:pPr>
        <w:pStyle w:val="ListParagraph"/>
        <w:numPr>
          <w:ilvl w:val="1"/>
          <w:numId w:val="2"/>
        </w:numPr>
        <w:rPr>
          <w:i/>
          <w:sz w:val="22"/>
          <w:szCs w:val="22"/>
          <w:lang w:val="is-IS"/>
        </w:rPr>
      </w:pPr>
      <w:r w:rsidRPr="000560F4">
        <w:rPr>
          <w:i/>
          <w:sz w:val="22"/>
          <w:szCs w:val="22"/>
          <w:lang w:val="is-IS"/>
        </w:rPr>
        <w:t>aukahemla (útblásturshemla og/eða drifskaftshemla).</w:t>
      </w:r>
    </w:p>
    <w:p w:rsidR="009B62BA" w:rsidRPr="000560F4" w:rsidRDefault="009B62BA" w:rsidP="009B62BA">
      <w:pPr>
        <w:pStyle w:val="ListParagraph"/>
        <w:numPr>
          <w:ilvl w:val="0"/>
          <w:numId w:val="2"/>
        </w:numPr>
        <w:rPr>
          <w:i/>
          <w:sz w:val="22"/>
          <w:szCs w:val="22"/>
          <w:lang w:val="is-IS"/>
        </w:rPr>
      </w:pPr>
      <w:r w:rsidRPr="000560F4">
        <w:rPr>
          <w:i/>
          <w:sz w:val="22"/>
          <w:szCs w:val="22"/>
          <w:lang w:val="is-IS"/>
        </w:rPr>
        <w:t>farmgeymi, reglum um viðurkenningu</w:t>
      </w:r>
    </w:p>
    <w:p w:rsidR="009B62BA" w:rsidRPr="000560F4" w:rsidRDefault="009B62BA" w:rsidP="009B62BA">
      <w:pPr>
        <w:ind w:left="567" w:right="567"/>
        <w:rPr>
          <w:rFonts w:ascii="Times" w:hAnsi="Times" w:cs="Times"/>
          <w:i/>
          <w:color w:val="000000"/>
          <w:sz w:val="22"/>
          <w:szCs w:val="22"/>
          <w:lang w:val="is-IS" w:eastAsia="is-IS"/>
        </w:rPr>
      </w:pPr>
    </w:p>
    <w:p w:rsidR="009B62BA" w:rsidRPr="000560F4" w:rsidRDefault="009B62BA" w:rsidP="009B62BA">
      <w:pPr>
        <w:ind w:left="567" w:right="567" w:firstLine="153"/>
        <w:rPr>
          <w:rFonts w:ascii="Times" w:hAnsi="Times" w:cs="Times"/>
          <w:i/>
          <w:color w:val="000000"/>
          <w:sz w:val="22"/>
          <w:szCs w:val="22"/>
          <w:lang w:val="is-IS" w:eastAsia="is-IS"/>
        </w:rPr>
      </w:pPr>
      <w:r w:rsidRPr="000560F4">
        <w:rPr>
          <w:rFonts w:ascii="Times" w:hAnsi="Times" w:cs="Times"/>
          <w:i/>
          <w:color w:val="000000"/>
          <w:sz w:val="22"/>
          <w:szCs w:val="22"/>
          <w:lang w:val="is-IS" w:eastAsia="is-IS"/>
        </w:rPr>
        <w:t>Undanþágan er bundin því skilyrði að farmgeymi og búnaði, sem fyrir er í ökutæki, sé haldið þannig við að hann sé í fullkomnu lagi. Ökutæki skal að öðru leyti uppfylla ákvæði reglugerðar um gerð og búnað ökutækja.</w:t>
      </w:r>
    </w:p>
    <w:p w:rsidR="009B62BA" w:rsidRPr="000560F4" w:rsidRDefault="009B62BA" w:rsidP="009B62BA">
      <w:pPr>
        <w:ind w:left="567" w:right="567" w:firstLine="153"/>
        <w:rPr>
          <w:rFonts w:ascii="Times" w:hAnsi="Times" w:cs="Times"/>
          <w:i/>
          <w:color w:val="000000"/>
          <w:sz w:val="22"/>
          <w:szCs w:val="22"/>
          <w:lang w:val="is-IS" w:eastAsia="is-IS"/>
        </w:rPr>
      </w:pPr>
      <w:r w:rsidRPr="000560F4">
        <w:rPr>
          <w:rFonts w:ascii="Times" w:hAnsi="Times" w:cs="Times"/>
          <w:i/>
          <w:color w:val="000000"/>
          <w:sz w:val="22"/>
          <w:szCs w:val="22"/>
          <w:lang w:val="is-IS" w:eastAsia="is-IS"/>
        </w:rPr>
        <w:t>Samgöngustofa skal halda sérstaka skrá yfir ökutæki og farmgeyma sem falla undir ákvæðið og skulu eigendur þeirra senda Samgöngustofu skýrslu miðað við 31. desember ár hver um stöðu úreldinga á ökutækjum og farmgeymum.</w:t>
      </w:r>
    </w:p>
    <w:p w:rsidR="009B62BA" w:rsidRDefault="009B62BA" w:rsidP="009B62BA">
      <w:pPr>
        <w:ind w:left="567" w:right="567" w:firstLine="153"/>
        <w:rPr>
          <w:i/>
          <w:sz w:val="22"/>
          <w:szCs w:val="22"/>
          <w:lang w:val="is-IS"/>
        </w:rPr>
      </w:pPr>
      <w:r w:rsidRPr="000560F4">
        <w:rPr>
          <w:i/>
          <w:sz w:val="22"/>
          <w:szCs w:val="22"/>
          <w:lang w:val="is-IS"/>
        </w:rPr>
        <w:t>Beiðni um undanþágu</w:t>
      </w:r>
      <w:r w:rsidR="00101DF4">
        <w:rPr>
          <w:i/>
          <w:sz w:val="22"/>
          <w:szCs w:val="22"/>
          <w:lang w:val="is-IS"/>
        </w:rPr>
        <w:t xml:space="preserve"> til Samgöngustofu sku</w:t>
      </w:r>
      <w:r w:rsidRPr="000560F4">
        <w:rPr>
          <w:i/>
          <w:sz w:val="22"/>
          <w:szCs w:val="22"/>
          <w:lang w:val="is-IS"/>
        </w:rPr>
        <w:t>l</w:t>
      </w:r>
      <w:r w:rsidR="00101DF4">
        <w:rPr>
          <w:i/>
          <w:sz w:val="22"/>
          <w:szCs w:val="22"/>
          <w:lang w:val="is-IS"/>
        </w:rPr>
        <w:t>u</w:t>
      </w:r>
      <w:r w:rsidRPr="000560F4">
        <w:rPr>
          <w:i/>
          <w:sz w:val="22"/>
          <w:szCs w:val="22"/>
          <w:lang w:val="is-IS"/>
        </w:rPr>
        <w:t xml:space="preserve"> fylgja  gögn því til stuðnings að ökutækið uppfylli skilyrði 3. mgr. og ákvæðisins að öðru leyti.</w:t>
      </w:r>
    </w:p>
    <w:p w:rsidR="009B62BA" w:rsidRDefault="009B62BA" w:rsidP="009B62BA">
      <w:pPr>
        <w:ind w:left="567" w:right="567" w:firstLine="153"/>
        <w:rPr>
          <w:b/>
          <w:lang w:val="is-IS"/>
        </w:rPr>
      </w:pPr>
      <w:r>
        <w:rPr>
          <w:i/>
          <w:sz w:val="22"/>
          <w:szCs w:val="22"/>
          <w:lang w:val="is-IS"/>
        </w:rPr>
        <w:t>Notkun ökutækis sem fær undanþágu samkvæmt ákvæði þessu er einungis heimil innanlands.</w:t>
      </w:r>
      <w:r>
        <w:rPr>
          <w:b/>
          <w:lang w:val="is-IS"/>
        </w:rPr>
        <w:t xml:space="preserve"> </w:t>
      </w:r>
    </w:p>
    <w:p w:rsidR="009B62BA" w:rsidRPr="00052139" w:rsidRDefault="009B62BA" w:rsidP="009B62BA">
      <w:pPr>
        <w:spacing w:line="276" w:lineRule="auto"/>
        <w:jc w:val="both"/>
        <w:rPr>
          <w:lang w:val="is-IS"/>
        </w:rPr>
      </w:pPr>
    </w:p>
    <w:p w:rsidR="009B62BA" w:rsidRPr="00181DAD" w:rsidRDefault="009B62BA" w:rsidP="009B62BA">
      <w:pPr>
        <w:spacing w:line="276" w:lineRule="auto"/>
        <w:ind w:firstLine="360"/>
        <w:jc w:val="center"/>
        <w:rPr>
          <w:lang w:val="is-IS"/>
        </w:rPr>
      </w:pPr>
    </w:p>
    <w:p w:rsidR="009B62BA" w:rsidRDefault="009B62BA" w:rsidP="009B62BA">
      <w:pPr>
        <w:rPr>
          <w:lang w:val="is-IS"/>
        </w:rPr>
      </w:pPr>
      <w:r>
        <w:rPr>
          <w:lang w:val="is-IS"/>
        </w:rPr>
        <w:br w:type="page"/>
      </w:r>
    </w:p>
    <w:p w:rsidR="009B62BA" w:rsidRDefault="009B62BA" w:rsidP="009B62BA">
      <w:pPr>
        <w:jc w:val="center"/>
        <w:rPr>
          <w:b/>
          <w:sz w:val="44"/>
          <w:lang w:val="is-IS"/>
        </w:rPr>
      </w:pPr>
      <w:r>
        <w:rPr>
          <w:b/>
          <w:sz w:val="44"/>
          <w:lang w:val="is-IS"/>
        </w:rPr>
        <w:lastRenderedPageBreak/>
        <w:t>Greinargerð</w:t>
      </w:r>
    </w:p>
    <w:p w:rsidR="009B62BA" w:rsidRDefault="009B62BA" w:rsidP="009B62BA">
      <w:pPr>
        <w:jc w:val="center"/>
        <w:rPr>
          <w:b/>
          <w:sz w:val="22"/>
          <w:lang w:val="is-IS"/>
        </w:rPr>
      </w:pPr>
    </w:p>
    <w:p w:rsidR="009B62BA" w:rsidRDefault="009B62BA" w:rsidP="009B62BA">
      <w:pPr>
        <w:jc w:val="center"/>
        <w:rPr>
          <w:sz w:val="28"/>
          <w:szCs w:val="28"/>
          <w:lang w:val="is-IS"/>
        </w:rPr>
      </w:pPr>
      <w:r>
        <w:rPr>
          <w:sz w:val="28"/>
          <w:szCs w:val="28"/>
          <w:lang w:val="is-IS"/>
        </w:rPr>
        <w:t>Um 1. gr.</w:t>
      </w:r>
    </w:p>
    <w:p w:rsidR="00101DF4" w:rsidRPr="00101DF4" w:rsidRDefault="00101DF4" w:rsidP="009B62BA">
      <w:pPr>
        <w:jc w:val="center"/>
        <w:rPr>
          <w:sz w:val="16"/>
          <w:szCs w:val="16"/>
          <w:lang w:val="is-IS"/>
        </w:rPr>
      </w:pPr>
    </w:p>
    <w:p w:rsidR="009B62BA" w:rsidRPr="00E16DAA" w:rsidRDefault="009B62BA" w:rsidP="009B62BA">
      <w:pPr>
        <w:rPr>
          <w:lang w:val="is-IS"/>
        </w:rPr>
      </w:pPr>
      <w:r>
        <w:rPr>
          <w:lang w:val="is-IS"/>
        </w:rPr>
        <w:t>Lagt er til að núgildandi bráðabirgðaákvæði verði fellt brott og nýju ákvæði bætt við reglugerðina, sbr. neðangreint.</w:t>
      </w:r>
    </w:p>
    <w:p w:rsidR="009B62BA" w:rsidRDefault="009B62BA" w:rsidP="009B62BA">
      <w:pPr>
        <w:jc w:val="center"/>
        <w:rPr>
          <w:sz w:val="28"/>
          <w:szCs w:val="28"/>
          <w:lang w:val="is-IS"/>
        </w:rPr>
      </w:pPr>
    </w:p>
    <w:p w:rsidR="009B62BA" w:rsidRPr="00181DAD" w:rsidRDefault="009B62BA" w:rsidP="009B62BA">
      <w:pPr>
        <w:jc w:val="center"/>
        <w:rPr>
          <w:sz w:val="28"/>
          <w:szCs w:val="28"/>
          <w:lang w:val="is-IS"/>
        </w:rPr>
      </w:pPr>
      <w:r w:rsidRPr="00181DAD">
        <w:rPr>
          <w:sz w:val="28"/>
          <w:szCs w:val="28"/>
          <w:lang w:val="is-IS"/>
        </w:rPr>
        <w:t xml:space="preserve">Um </w:t>
      </w:r>
      <w:r>
        <w:rPr>
          <w:sz w:val="28"/>
          <w:szCs w:val="28"/>
          <w:lang w:val="is-IS"/>
        </w:rPr>
        <w:t>2</w:t>
      </w:r>
      <w:r w:rsidRPr="00181DAD">
        <w:rPr>
          <w:sz w:val="28"/>
          <w:szCs w:val="28"/>
          <w:lang w:val="is-IS"/>
        </w:rPr>
        <w:t>. gr.</w:t>
      </w:r>
    </w:p>
    <w:p w:rsidR="009B62BA" w:rsidRDefault="009B62BA" w:rsidP="009B62BA">
      <w:pPr>
        <w:jc w:val="center"/>
        <w:rPr>
          <w:sz w:val="16"/>
          <w:lang w:val="is-IS"/>
        </w:rPr>
      </w:pPr>
    </w:p>
    <w:p w:rsidR="009B62BA" w:rsidRPr="00101DF4" w:rsidRDefault="009B62BA" w:rsidP="009B62BA">
      <w:pPr>
        <w:spacing w:line="276" w:lineRule="auto"/>
        <w:ind w:right="84"/>
        <w:jc w:val="both"/>
        <w:rPr>
          <w:lang w:val="da-DK"/>
        </w:rPr>
      </w:pPr>
      <w:r w:rsidRPr="00101DF4">
        <w:rPr>
          <w:lang w:val="da-DK"/>
        </w:rPr>
        <w:t xml:space="preserve">Tillaga 2. gr. á sér rætur að rekja til þess að hinn 6. september 2013 sendi Olíudreifing ehf. ráðuneytinu beiðni þess efnis að ráðuneytið hlutaðist til um að hægt yrði að nota tiltekna geyma, nánar tiltekið YD 0010, YD 0011 og YD 0012 áfram eftir áramótin 2014/2015, sem falla undir núgildandi undanþáguheimild bráðabirgðaákvæðis reglugerðar nr. 1077/2010 um flutning á hættulegum farmi á landi. Þann 24. janúar 2012 veitti Umferðarstofa undanþágu vegna nokkurs fjölda ADR-ökutækja, m.a. ofangreind þrjú ökutæki. Í erindi Olíudreifingar ehf. kemur fram að í lok ársins 2014 muni notkun allra ökutækja sem fengu undanþágu í janúar 2012 vera hætt, að undanskildum ofangreindum þremur. </w:t>
      </w:r>
    </w:p>
    <w:p w:rsidR="009B62BA" w:rsidRPr="00101DF4" w:rsidRDefault="009B62BA" w:rsidP="009B62BA">
      <w:pPr>
        <w:spacing w:line="276" w:lineRule="auto"/>
        <w:ind w:right="84" w:firstLine="720"/>
        <w:jc w:val="both"/>
        <w:rPr>
          <w:lang w:val="da-DK"/>
        </w:rPr>
      </w:pPr>
      <w:r w:rsidRPr="00101DF4">
        <w:rPr>
          <w:lang w:val="da-DK"/>
        </w:rPr>
        <w:t xml:space="preserve">Í kjölfar beiðni Olíudreifingar ehf. óskaði ráðuneytið eftir því að Samgöngustofa og Vinnueftirlit ríkisins veittu umsögn um efni beiðninnar. Í umsögn sinni, dags. 1. október 2013, taldi Samgöngustofa að ekki væri ástæða til annars en að mæla með því að umrædd ökutæki fengju áframhaldandi undanþágu með sambærilegum hætti en rétt væri þó að skilyrða undanþáguna m.a. við innanlandsnotkun. Vinnueftirlit ríkisins veitti umsögn um erindið með bréfi, dags. 14. október 2013, þar sem ekki voru gerðar neinar athugasemdir við það að tankarnir fengju áframhaldandi undanþágu frá ADR-reglum eftir áramótin 2014/2015 en jafnframt kom fram að allir tankarnir hefðu staðist skoðun. </w:t>
      </w:r>
    </w:p>
    <w:p w:rsidR="009B62BA" w:rsidRPr="00101DF4" w:rsidRDefault="009B62BA" w:rsidP="009B62BA">
      <w:pPr>
        <w:spacing w:line="276" w:lineRule="auto"/>
        <w:ind w:right="84" w:firstLine="720"/>
        <w:jc w:val="both"/>
        <w:rPr>
          <w:lang w:val="da-DK"/>
        </w:rPr>
      </w:pPr>
      <w:r w:rsidRPr="00101DF4">
        <w:rPr>
          <w:lang w:val="da-DK"/>
        </w:rPr>
        <w:t xml:space="preserve">Með breytingarreglugerð nr. 980/2013 frá 21. október 2013 var umræddu bráðabirgðaákvæði breytt með þeim hætti að við bættist ný málsgrein þar sem ökutækjum sem Samgöngustofa (áður Umferðarstofa) hafði veitt undanþágu frá ADR-reglum fengu áframhaldandi undanþágu til loka árs 2014, að því gefnu að skilyrðum 3. mgr. ákvæðisins væri fullnægt. </w:t>
      </w:r>
    </w:p>
    <w:p w:rsidR="009B62BA" w:rsidRPr="00101DF4" w:rsidRDefault="009B62BA" w:rsidP="009B62BA">
      <w:pPr>
        <w:spacing w:line="276" w:lineRule="auto"/>
        <w:ind w:right="84"/>
        <w:jc w:val="both"/>
        <w:rPr>
          <w:lang w:val="da-DK"/>
        </w:rPr>
      </w:pPr>
      <w:r w:rsidRPr="00101DF4">
        <w:rPr>
          <w:lang w:val="da-DK"/>
        </w:rPr>
        <w:tab/>
        <w:t xml:space="preserve">Fyrri undanþáguheimild reglugerðarinnar kom með breytingareglugerð nr. 589/2011 frá 23. maí 2011 og var veitt til þriggja ára. </w:t>
      </w:r>
    </w:p>
    <w:p w:rsidR="009B62BA" w:rsidRPr="00101DF4" w:rsidRDefault="009B62BA" w:rsidP="009B62BA">
      <w:pPr>
        <w:spacing w:line="276" w:lineRule="auto"/>
        <w:ind w:right="84"/>
        <w:jc w:val="both"/>
        <w:rPr>
          <w:lang w:val="da-DK"/>
        </w:rPr>
      </w:pPr>
      <w:r w:rsidRPr="00101DF4">
        <w:rPr>
          <w:lang w:val="da-DK"/>
        </w:rPr>
        <w:tab/>
        <w:t xml:space="preserve">Eftir skoðun á tilskipun 2008/68/EB og undanþáguákvæði hennar sem framangreint bráðabirgðaákvæði byggir á þykir ljóst að ekki sé ástæða til að tímasetja undanþáguna að öðru leyti en því að hafa hana til þriggja ára. Ákvæði tilskipunarinnar, 2. töluliður gr. I.2 í viðauka I, segir að heimilt sé að undanþiggja þessi tilteknu ökutæki og er ekki um að ræða tímabundna undanþáguheimild. Þess vegna er lagt til að Samgöngustofu verði </w:t>
      </w:r>
      <w:r w:rsidR="0049022B">
        <w:rPr>
          <w:lang w:val="da-DK"/>
        </w:rPr>
        <w:t>heimilað</w:t>
      </w:r>
      <w:bookmarkStart w:id="0" w:name="_GoBack"/>
      <w:bookmarkEnd w:id="0"/>
      <w:r w:rsidRPr="00101DF4">
        <w:rPr>
          <w:lang w:val="da-DK"/>
        </w:rPr>
        <w:t xml:space="preserve"> að veita undanþágu frá ADR-reglum, sbr. ákvæði tilskipunar nr. 2008/68/EB, á þeim grundvelli að gögn sýni að skilyrðum sé fullnægt. Undanþága verði veitt til allt að þriggja ára í senn. </w:t>
      </w:r>
    </w:p>
    <w:p w:rsidR="009F062B" w:rsidRPr="00101DF4" w:rsidRDefault="009F062B"/>
    <w:sectPr w:rsidR="009F062B" w:rsidRPr="00101DF4" w:rsidSect="000D613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137" w:rsidRDefault="000D6137" w:rsidP="00101DF4">
      <w:r>
        <w:separator/>
      </w:r>
    </w:p>
  </w:endnote>
  <w:endnote w:type="continuationSeparator" w:id="0">
    <w:p w:rsidR="000D6137" w:rsidRDefault="000D6137" w:rsidP="0010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37" w:rsidRDefault="000D61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37" w:rsidRDefault="000D61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37" w:rsidRDefault="000D6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137" w:rsidRDefault="000D6137" w:rsidP="00101DF4">
      <w:r>
        <w:separator/>
      </w:r>
    </w:p>
  </w:footnote>
  <w:footnote w:type="continuationSeparator" w:id="0">
    <w:p w:rsidR="000D6137" w:rsidRDefault="000D6137" w:rsidP="00101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37" w:rsidRDefault="004902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1922" o:spid="_x0000_s2050" type="#_x0000_t136" style="position:absolute;margin-left:0;margin-top:0;width:455.4pt;height:130.1pt;rotation:315;z-index:-251655168;mso-position-horizontal:center;mso-position-horizontal-relative:margin;mso-position-vertical:center;mso-position-vertical-relative:margin" o:allowincell="f" fillcolor="#7f7f7f [1612]" stroked="f">
          <v:fill opacity=".5"/>
          <v:textpath style="font-family:&quot;Times New Roman&quot;;font-size:1pt" string="D R Ö 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37" w:rsidRDefault="0049022B" w:rsidP="000D6137">
    <w:pPr>
      <w:pStyle w:val="Header"/>
      <w:ind w:right="-1134"/>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1923" o:spid="_x0000_s2051" type="#_x0000_t136" style="position:absolute;left:0;text-align:left;margin-left:0;margin-top:0;width:455.4pt;height:130.1pt;rotation:315;z-index:-251653120;mso-position-horizontal:center;mso-position-horizontal-relative:margin;mso-position-vertical:center;mso-position-vertical-relative:margin" o:allowincell="f" fillcolor="#7f7f7f [1612]" stroked="f">
          <v:fill opacity=".5"/>
          <v:textpath style="font-family:&quot;Times New Roman&quot;;font-size:1pt" string="D R Ö 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37" w:rsidRDefault="004902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1921" o:spid="_x0000_s2049" type="#_x0000_t136" style="position:absolute;margin-left:0;margin-top:0;width:455.4pt;height:130.1pt;rotation:315;z-index:-251657216;mso-position-horizontal:center;mso-position-horizontal-relative:margin;mso-position-vertical:center;mso-position-vertical-relative:margin" o:allowincell="f" fillcolor="#7f7f7f [1612]" stroked="f">
          <v:fill opacity=".5"/>
          <v:textpath style="font-family:&quot;Times New Roman&quot;;font-size:1pt" string="D R Ö 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742A6"/>
    <w:multiLevelType w:val="multilevel"/>
    <w:tmpl w:val="BA06ED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71B75773"/>
    <w:multiLevelType w:val="hybridMultilevel"/>
    <w:tmpl w:val="4E8A52BE"/>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2BA"/>
    <w:rsid w:val="00002116"/>
    <w:rsid w:val="00005862"/>
    <w:rsid w:val="0001614A"/>
    <w:rsid w:val="000220D0"/>
    <w:rsid w:val="00022F3B"/>
    <w:rsid w:val="00023917"/>
    <w:rsid w:val="000263FC"/>
    <w:rsid w:val="000330B7"/>
    <w:rsid w:val="00033F72"/>
    <w:rsid w:val="0004156F"/>
    <w:rsid w:val="00041E4B"/>
    <w:rsid w:val="0004427C"/>
    <w:rsid w:val="0004477A"/>
    <w:rsid w:val="000468DB"/>
    <w:rsid w:val="00046A4B"/>
    <w:rsid w:val="00047676"/>
    <w:rsid w:val="00050222"/>
    <w:rsid w:val="00050251"/>
    <w:rsid w:val="00051839"/>
    <w:rsid w:val="00051FE2"/>
    <w:rsid w:val="00052877"/>
    <w:rsid w:val="00052AD2"/>
    <w:rsid w:val="00053A14"/>
    <w:rsid w:val="00054036"/>
    <w:rsid w:val="00056548"/>
    <w:rsid w:val="00057ACB"/>
    <w:rsid w:val="00060696"/>
    <w:rsid w:val="000624D7"/>
    <w:rsid w:val="00062704"/>
    <w:rsid w:val="00076EA4"/>
    <w:rsid w:val="00081EA8"/>
    <w:rsid w:val="00085F4C"/>
    <w:rsid w:val="00087B64"/>
    <w:rsid w:val="00087CF8"/>
    <w:rsid w:val="00091014"/>
    <w:rsid w:val="0009161D"/>
    <w:rsid w:val="00094A59"/>
    <w:rsid w:val="00096136"/>
    <w:rsid w:val="000A0740"/>
    <w:rsid w:val="000A0F13"/>
    <w:rsid w:val="000A17D4"/>
    <w:rsid w:val="000A4158"/>
    <w:rsid w:val="000A4E88"/>
    <w:rsid w:val="000A4F72"/>
    <w:rsid w:val="000B1D95"/>
    <w:rsid w:val="000B2CCC"/>
    <w:rsid w:val="000B7C42"/>
    <w:rsid w:val="000C0448"/>
    <w:rsid w:val="000C21B9"/>
    <w:rsid w:val="000C34EE"/>
    <w:rsid w:val="000C437D"/>
    <w:rsid w:val="000C743A"/>
    <w:rsid w:val="000C77C5"/>
    <w:rsid w:val="000D6137"/>
    <w:rsid w:val="000E4F9B"/>
    <w:rsid w:val="000E598B"/>
    <w:rsid w:val="000F17C2"/>
    <w:rsid w:val="000F405F"/>
    <w:rsid w:val="000F4194"/>
    <w:rsid w:val="000F5BFB"/>
    <w:rsid w:val="000F5E1A"/>
    <w:rsid w:val="00101DC6"/>
    <w:rsid w:val="00101DF4"/>
    <w:rsid w:val="00104582"/>
    <w:rsid w:val="00104DD6"/>
    <w:rsid w:val="001055F1"/>
    <w:rsid w:val="00105D9F"/>
    <w:rsid w:val="001123C2"/>
    <w:rsid w:val="001209C0"/>
    <w:rsid w:val="00125C09"/>
    <w:rsid w:val="001303AA"/>
    <w:rsid w:val="001308AB"/>
    <w:rsid w:val="00132DF7"/>
    <w:rsid w:val="00134D73"/>
    <w:rsid w:val="0013505B"/>
    <w:rsid w:val="0013773A"/>
    <w:rsid w:val="00137ED4"/>
    <w:rsid w:val="00141370"/>
    <w:rsid w:val="001413EE"/>
    <w:rsid w:val="00150034"/>
    <w:rsid w:val="0015012F"/>
    <w:rsid w:val="00150EE1"/>
    <w:rsid w:val="00154F6E"/>
    <w:rsid w:val="001576E5"/>
    <w:rsid w:val="00160607"/>
    <w:rsid w:val="00161352"/>
    <w:rsid w:val="001712D1"/>
    <w:rsid w:val="00173A48"/>
    <w:rsid w:val="001741CC"/>
    <w:rsid w:val="00181EDA"/>
    <w:rsid w:val="001841E1"/>
    <w:rsid w:val="0019498C"/>
    <w:rsid w:val="00194C84"/>
    <w:rsid w:val="001967CA"/>
    <w:rsid w:val="00196B90"/>
    <w:rsid w:val="00196FD9"/>
    <w:rsid w:val="001A125F"/>
    <w:rsid w:val="001B0A64"/>
    <w:rsid w:val="001B291A"/>
    <w:rsid w:val="001B380E"/>
    <w:rsid w:val="001B4076"/>
    <w:rsid w:val="001B43AF"/>
    <w:rsid w:val="001B4690"/>
    <w:rsid w:val="001B6A83"/>
    <w:rsid w:val="001C1105"/>
    <w:rsid w:val="001C3E46"/>
    <w:rsid w:val="001C41A8"/>
    <w:rsid w:val="001D0441"/>
    <w:rsid w:val="001D0DF2"/>
    <w:rsid w:val="001D1455"/>
    <w:rsid w:val="001D562A"/>
    <w:rsid w:val="001E1613"/>
    <w:rsid w:val="001E2480"/>
    <w:rsid w:val="001E2E41"/>
    <w:rsid w:val="001F072E"/>
    <w:rsid w:val="001F250C"/>
    <w:rsid w:val="001F3A93"/>
    <w:rsid w:val="001F3EB0"/>
    <w:rsid w:val="001F652C"/>
    <w:rsid w:val="001F6884"/>
    <w:rsid w:val="001F7898"/>
    <w:rsid w:val="001F7EC2"/>
    <w:rsid w:val="00203BA7"/>
    <w:rsid w:val="00207403"/>
    <w:rsid w:val="002168F7"/>
    <w:rsid w:val="00220126"/>
    <w:rsid w:val="002209F9"/>
    <w:rsid w:val="002213F9"/>
    <w:rsid w:val="0022158A"/>
    <w:rsid w:val="00221FA6"/>
    <w:rsid w:val="0022250B"/>
    <w:rsid w:val="00222653"/>
    <w:rsid w:val="00223B6B"/>
    <w:rsid w:val="00223B97"/>
    <w:rsid w:val="00225AB9"/>
    <w:rsid w:val="002271FC"/>
    <w:rsid w:val="00232A48"/>
    <w:rsid w:val="00233432"/>
    <w:rsid w:val="00236DE3"/>
    <w:rsid w:val="0023713F"/>
    <w:rsid w:val="00241DCC"/>
    <w:rsid w:val="002467F7"/>
    <w:rsid w:val="00247F74"/>
    <w:rsid w:val="00253D1B"/>
    <w:rsid w:val="002559F7"/>
    <w:rsid w:val="00256C15"/>
    <w:rsid w:val="002571D6"/>
    <w:rsid w:val="00257F7A"/>
    <w:rsid w:val="0026018B"/>
    <w:rsid w:val="00260A5A"/>
    <w:rsid w:val="00263C34"/>
    <w:rsid w:val="002754A7"/>
    <w:rsid w:val="00276755"/>
    <w:rsid w:val="00287509"/>
    <w:rsid w:val="00287E24"/>
    <w:rsid w:val="002905BC"/>
    <w:rsid w:val="00293A2A"/>
    <w:rsid w:val="00294425"/>
    <w:rsid w:val="00296B1E"/>
    <w:rsid w:val="002A1C0B"/>
    <w:rsid w:val="002A2FD2"/>
    <w:rsid w:val="002A7551"/>
    <w:rsid w:val="002B09E3"/>
    <w:rsid w:val="002B3043"/>
    <w:rsid w:val="002B69F4"/>
    <w:rsid w:val="002C0EB4"/>
    <w:rsid w:val="002C116F"/>
    <w:rsid w:val="002C54FD"/>
    <w:rsid w:val="002C6F10"/>
    <w:rsid w:val="002D0ABC"/>
    <w:rsid w:val="002D1E0B"/>
    <w:rsid w:val="002D4B11"/>
    <w:rsid w:val="002E454F"/>
    <w:rsid w:val="002E5E4D"/>
    <w:rsid w:val="002E645A"/>
    <w:rsid w:val="002F0C57"/>
    <w:rsid w:val="002F1183"/>
    <w:rsid w:val="002F181D"/>
    <w:rsid w:val="002F54AA"/>
    <w:rsid w:val="002F57AC"/>
    <w:rsid w:val="002F60AD"/>
    <w:rsid w:val="00301351"/>
    <w:rsid w:val="00306960"/>
    <w:rsid w:val="003201D6"/>
    <w:rsid w:val="0032094F"/>
    <w:rsid w:val="00322A5F"/>
    <w:rsid w:val="00330382"/>
    <w:rsid w:val="003316E4"/>
    <w:rsid w:val="00333D5D"/>
    <w:rsid w:val="003402BC"/>
    <w:rsid w:val="00341754"/>
    <w:rsid w:val="00345B2D"/>
    <w:rsid w:val="00351D8F"/>
    <w:rsid w:val="003529BD"/>
    <w:rsid w:val="00361C87"/>
    <w:rsid w:val="00362C26"/>
    <w:rsid w:val="0036602D"/>
    <w:rsid w:val="00371638"/>
    <w:rsid w:val="003720B2"/>
    <w:rsid w:val="003758F0"/>
    <w:rsid w:val="00381395"/>
    <w:rsid w:val="003848EF"/>
    <w:rsid w:val="003854D0"/>
    <w:rsid w:val="0038625D"/>
    <w:rsid w:val="00386914"/>
    <w:rsid w:val="00387DBE"/>
    <w:rsid w:val="003902DC"/>
    <w:rsid w:val="00397892"/>
    <w:rsid w:val="003A4004"/>
    <w:rsid w:val="003B79DB"/>
    <w:rsid w:val="003B79E5"/>
    <w:rsid w:val="003C1737"/>
    <w:rsid w:val="003C403E"/>
    <w:rsid w:val="003C52F0"/>
    <w:rsid w:val="003C68CD"/>
    <w:rsid w:val="003D2DCE"/>
    <w:rsid w:val="003D5830"/>
    <w:rsid w:val="003D5A30"/>
    <w:rsid w:val="003E314F"/>
    <w:rsid w:val="003F2185"/>
    <w:rsid w:val="003F5738"/>
    <w:rsid w:val="003F5924"/>
    <w:rsid w:val="003F6335"/>
    <w:rsid w:val="003F735E"/>
    <w:rsid w:val="004007CE"/>
    <w:rsid w:val="0040249F"/>
    <w:rsid w:val="00403B7D"/>
    <w:rsid w:val="00406C00"/>
    <w:rsid w:val="00415561"/>
    <w:rsid w:val="004172CE"/>
    <w:rsid w:val="00424CBD"/>
    <w:rsid w:val="00425E7C"/>
    <w:rsid w:val="00442E38"/>
    <w:rsid w:val="0044397C"/>
    <w:rsid w:val="0045371E"/>
    <w:rsid w:val="00465CD7"/>
    <w:rsid w:val="004674EC"/>
    <w:rsid w:val="00467E60"/>
    <w:rsid w:val="00476D24"/>
    <w:rsid w:val="00476F0D"/>
    <w:rsid w:val="00482546"/>
    <w:rsid w:val="00484ADE"/>
    <w:rsid w:val="0049022B"/>
    <w:rsid w:val="00490645"/>
    <w:rsid w:val="0049412A"/>
    <w:rsid w:val="00495672"/>
    <w:rsid w:val="004A50A4"/>
    <w:rsid w:val="004B2228"/>
    <w:rsid w:val="004B2701"/>
    <w:rsid w:val="004B757A"/>
    <w:rsid w:val="004C24E1"/>
    <w:rsid w:val="004C2B71"/>
    <w:rsid w:val="004C3B22"/>
    <w:rsid w:val="004C4D1C"/>
    <w:rsid w:val="004C7CF7"/>
    <w:rsid w:val="004D230B"/>
    <w:rsid w:val="004D271E"/>
    <w:rsid w:val="004D3FEA"/>
    <w:rsid w:val="004D4EF3"/>
    <w:rsid w:val="004E3E63"/>
    <w:rsid w:val="004E4027"/>
    <w:rsid w:val="004E6531"/>
    <w:rsid w:val="004E681D"/>
    <w:rsid w:val="004F6C66"/>
    <w:rsid w:val="004F6F12"/>
    <w:rsid w:val="00501650"/>
    <w:rsid w:val="0050230D"/>
    <w:rsid w:val="005024BD"/>
    <w:rsid w:val="00502F93"/>
    <w:rsid w:val="00504A56"/>
    <w:rsid w:val="0051249D"/>
    <w:rsid w:val="00512E86"/>
    <w:rsid w:val="005147C9"/>
    <w:rsid w:val="005150A4"/>
    <w:rsid w:val="0051562F"/>
    <w:rsid w:val="0052250E"/>
    <w:rsid w:val="00525380"/>
    <w:rsid w:val="0053366A"/>
    <w:rsid w:val="0053686B"/>
    <w:rsid w:val="00540A73"/>
    <w:rsid w:val="005444AE"/>
    <w:rsid w:val="00547F2C"/>
    <w:rsid w:val="00550C2C"/>
    <w:rsid w:val="00554EE8"/>
    <w:rsid w:val="0055558F"/>
    <w:rsid w:val="005660B1"/>
    <w:rsid w:val="005705EE"/>
    <w:rsid w:val="00582046"/>
    <w:rsid w:val="00582730"/>
    <w:rsid w:val="00584185"/>
    <w:rsid w:val="005915E6"/>
    <w:rsid w:val="005A5497"/>
    <w:rsid w:val="005B3275"/>
    <w:rsid w:val="005B6FF2"/>
    <w:rsid w:val="005B7240"/>
    <w:rsid w:val="005C0A68"/>
    <w:rsid w:val="005C4CD8"/>
    <w:rsid w:val="005C64E8"/>
    <w:rsid w:val="005C77BD"/>
    <w:rsid w:val="005D5682"/>
    <w:rsid w:val="005E16E4"/>
    <w:rsid w:val="005E1D38"/>
    <w:rsid w:val="005E47AF"/>
    <w:rsid w:val="005E5E58"/>
    <w:rsid w:val="00601DB5"/>
    <w:rsid w:val="0060264E"/>
    <w:rsid w:val="00602C94"/>
    <w:rsid w:val="00611C90"/>
    <w:rsid w:val="00611F94"/>
    <w:rsid w:val="00612068"/>
    <w:rsid w:val="00613F6A"/>
    <w:rsid w:val="00615A2D"/>
    <w:rsid w:val="00622143"/>
    <w:rsid w:val="00625293"/>
    <w:rsid w:val="00632866"/>
    <w:rsid w:val="00633566"/>
    <w:rsid w:val="00636A08"/>
    <w:rsid w:val="00641512"/>
    <w:rsid w:val="00642EA6"/>
    <w:rsid w:val="00647C78"/>
    <w:rsid w:val="00651A33"/>
    <w:rsid w:val="00651FA3"/>
    <w:rsid w:val="0066076B"/>
    <w:rsid w:val="00667002"/>
    <w:rsid w:val="00680929"/>
    <w:rsid w:val="00682DCD"/>
    <w:rsid w:val="0068332F"/>
    <w:rsid w:val="00683B2C"/>
    <w:rsid w:val="006840DA"/>
    <w:rsid w:val="006842DF"/>
    <w:rsid w:val="00685AF8"/>
    <w:rsid w:val="00694101"/>
    <w:rsid w:val="006973B2"/>
    <w:rsid w:val="006A028F"/>
    <w:rsid w:val="006A078F"/>
    <w:rsid w:val="006A5395"/>
    <w:rsid w:val="006B1869"/>
    <w:rsid w:val="006B2157"/>
    <w:rsid w:val="006B2677"/>
    <w:rsid w:val="006C7A1E"/>
    <w:rsid w:val="006D297B"/>
    <w:rsid w:val="006D361F"/>
    <w:rsid w:val="006D47EF"/>
    <w:rsid w:val="006E0472"/>
    <w:rsid w:val="006E0F54"/>
    <w:rsid w:val="006E1F6E"/>
    <w:rsid w:val="006F18D3"/>
    <w:rsid w:val="00701318"/>
    <w:rsid w:val="007047B6"/>
    <w:rsid w:val="00707644"/>
    <w:rsid w:val="00710875"/>
    <w:rsid w:val="00717F36"/>
    <w:rsid w:val="00725D84"/>
    <w:rsid w:val="007261D1"/>
    <w:rsid w:val="00732DED"/>
    <w:rsid w:val="00737AE6"/>
    <w:rsid w:val="00740554"/>
    <w:rsid w:val="00746E58"/>
    <w:rsid w:val="00752193"/>
    <w:rsid w:val="007545DE"/>
    <w:rsid w:val="00763242"/>
    <w:rsid w:val="0076440F"/>
    <w:rsid w:val="00765939"/>
    <w:rsid w:val="0076777E"/>
    <w:rsid w:val="007700FB"/>
    <w:rsid w:val="00772607"/>
    <w:rsid w:val="00776A9D"/>
    <w:rsid w:val="00776C8C"/>
    <w:rsid w:val="00780654"/>
    <w:rsid w:val="007846BD"/>
    <w:rsid w:val="00784A6F"/>
    <w:rsid w:val="00790BCC"/>
    <w:rsid w:val="00790F92"/>
    <w:rsid w:val="00791658"/>
    <w:rsid w:val="007916C6"/>
    <w:rsid w:val="00797B52"/>
    <w:rsid w:val="00797BBA"/>
    <w:rsid w:val="007A4F1C"/>
    <w:rsid w:val="007B4EF7"/>
    <w:rsid w:val="007B593C"/>
    <w:rsid w:val="007B64CD"/>
    <w:rsid w:val="007C24A4"/>
    <w:rsid w:val="007C4443"/>
    <w:rsid w:val="007C676A"/>
    <w:rsid w:val="007C72CF"/>
    <w:rsid w:val="007D0D2F"/>
    <w:rsid w:val="007D78C6"/>
    <w:rsid w:val="007E0C9B"/>
    <w:rsid w:val="007E2138"/>
    <w:rsid w:val="007E419E"/>
    <w:rsid w:val="007E5DB1"/>
    <w:rsid w:val="007E6B6B"/>
    <w:rsid w:val="007F7380"/>
    <w:rsid w:val="007F7AB4"/>
    <w:rsid w:val="00812C78"/>
    <w:rsid w:val="00832DA2"/>
    <w:rsid w:val="0083610B"/>
    <w:rsid w:val="00836CA0"/>
    <w:rsid w:val="008372B6"/>
    <w:rsid w:val="00840EAE"/>
    <w:rsid w:val="00842A17"/>
    <w:rsid w:val="008433BC"/>
    <w:rsid w:val="00850550"/>
    <w:rsid w:val="00850B6C"/>
    <w:rsid w:val="00850BF6"/>
    <w:rsid w:val="00854813"/>
    <w:rsid w:val="00854F53"/>
    <w:rsid w:val="008554FB"/>
    <w:rsid w:val="008562C2"/>
    <w:rsid w:val="008633B6"/>
    <w:rsid w:val="00865F6D"/>
    <w:rsid w:val="00867DD9"/>
    <w:rsid w:val="00870AB4"/>
    <w:rsid w:val="00871268"/>
    <w:rsid w:val="00873E33"/>
    <w:rsid w:val="008743AD"/>
    <w:rsid w:val="00876BD8"/>
    <w:rsid w:val="00877859"/>
    <w:rsid w:val="00877B18"/>
    <w:rsid w:val="008800BE"/>
    <w:rsid w:val="008841DD"/>
    <w:rsid w:val="00892D15"/>
    <w:rsid w:val="00896253"/>
    <w:rsid w:val="008A5166"/>
    <w:rsid w:val="008B275C"/>
    <w:rsid w:val="008B3B4A"/>
    <w:rsid w:val="008C139D"/>
    <w:rsid w:val="008C34CE"/>
    <w:rsid w:val="008C3D01"/>
    <w:rsid w:val="008C47F8"/>
    <w:rsid w:val="008C5F7E"/>
    <w:rsid w:val="008D1C7E"/>
    <w:rsid w:val="008D356C"/>
    <w:rsid w:val="008E3928"/>
    <w:rsid w:val="008E39DD"/>
    <w:rsid w:val="008E4034"/>
    <w:rsid w:val="008E7349"/>
    <w:rsid w:val="008F1855"/>
    <w:rsid w:val="008F52A7"/>
    <w:rsid w:val="008F6600"/>
    <w:rsid w:val="008F7DD9"/>
    <w:rsid w:val="009005F2"/>
    <w:rsid w:val="00900989"/>
    <w:rsid w:val="00902FC4"/>
    <w:rsid w:val="009108D5"/>
    <w:rsid w:val="00911077"/>
    <w:rsid w:val="009113D8"/>
    <w:rsid w:val="00911718"/>
    <w:rsid w:val="00913F7D"/>
    <w:rsid w:val="00914AF2"/>
    <w:rsid w:val="0092090D"/>
    <w:rsid w:val="00920948"/>
    <w:rsid w:val="00922F56"/>
    <w:rsid w:val="0092574F"/>
    <w:rsid w:val="00933BE8"/>
    <w:rsid w:val="00940EC0"/>
    <w:rsid w:val="00940FC4"/>
    <w:rsid w:val="00951999"/>
    <w:rsid w:val="00956449"/>
    <w:rsid w:val="00964008"/>
    <w:rsid w:val="009655B0"/>
    <w:rsid w:val="0097123F"/>
    <w:rsid w:val="00972A03"/>
    <w:rsid w:val="00973DD4"/>
    <w:rsid w:val="00976781"/>
    <w:rsid w:val="00980698"/>
    <w:rsid w:val="009876EF"/>
    <w:rsid w:val="00987E22"/>
    <w:rsid w:val="009910EE"/>
    <w:rsid w:val="0099333F"/>
    <w:rsid w:val="009A32BD"/>
    <w:rsid w:val="009A4042"/>
    <w:rsid w:val="009B62BA"/>
    <w:rsid w:val="009B66FC"/>
    <w:rsid w:val="009D147E"/>
    <w:rsid w:val="009D3F93"/>
    <w:rsid w:val="009D64E4"/>
    <w:rsid w:val="009D69DA"/>
    <w:rsid w:val="009E0C5D"/>
    <w:rsid w:val="009E2357"/>
    <w:rsid w:val="009E4953"/>
    <w:rsid w:val="009E6542"/>
    <w:rsid w:val="009F062B"/>
    <w:rsid w:val="009F4C28"/>
    <w:rsid w:val="009F5D61"/>
    <w:rsid w:val="00A17A45"/>
    <w:rsid w:val="00A21580"/>
    <w:rsid w:val="00A23BA7"/>
    <w:rsid w:val="00A25504"/>
    <w:rsid w:val="00A268AC"/>
    <w:rsid w:val="00A27DB5"/>
    <w:rsid w:val="00A3017F"/>
    <w:rsid w:val="00A31549"/>
    <w:rsid w:val="00A3308D"/>
    <w:rsid w:val="00A35C2E"/>
    <w:rsid w:val="00A362D1"/>
    <w:rsid w:val="00A534CF"/>
    <w:rsid w:val="00A568F4"/>
    <w:rsid w:val="00A638A6"/>
    <w:rsid w:val="00A655F3"/>
    <w:rsid w:val="00A67615"/>
    <w:rsid w:val="00A76D9C"/>
    <w:rsid w:val="00A770F3"/>
    <w:rsid w:val="00A77198"/>
    <w:rsid w:val="00A80404"/>
    <w:rsid w:val="00A840AD"/>
    <w:rsid w:val="00A902F3"/>
    <w:rsid w:val="00A91402"/>
    <w:rsid w:val="00A93CF4"/>
    <w:rsid w:val="00A95136"/>
    <w:rsid w:val="00A95273"/>
    <w:rsid w:val="00AA2509"/>
    <w:rsid w:val="00AA4648"/>
    <w:rsid w:val="00AA520B"/>
    <w:rsid w:val="00AA5FE7"/>
    <w:rsid w:val="00AB0F94"/>
    <w:rsid w:val="00AB2F99"/>
    <w:rsid w:val="00AB3EA7"/>
    <w:rsid w:val="00AB7B9C"/>
    <w:rsid w:val="00AC350A"/>
    <w:rsid w:val="00AC3EA8"/>
    <w:rsid w:val="00AC4C29"/>
    <w:rsid w:val="00AD47F6"/>
    <w:rsid w:val="00AE0E92"/>
    <w:rsid w:val="00AE37AB"/>
    <w:rsid w:val="00AE5904"/>
    <w:rsid w:val="00AE6C99"/>
    <w:rsid w:val="00AE73D5"/>
    <w:rsid w:val="00AF3C76"/>
    <w:rsid w:val="00B018F5"/>
    <w:rsid w:val="00B06B0A"/>
    <w:rsid w:val="00B15FD7"/>
    <w:rsid w:val="00B20ABA"/>
    <w:rsid w:val="00B2244E"/>
    <w:rsid w:val="00B225E9"/>
    <w:rsid w:val="00B236DC"/>
    <w:rsid w:val="00B25003"/>
    <w:rsid w:val="00B274F1"/>
    <w:rsid w:val="00B3176E"/>
    <w:rsid w:val="00B33727"/>
    <w:rsid w:val="00B33F5D"/>
    <w:rsid w:val="00B4231D"/>
    <w:rsid w:val="00B42B71"/>
    <w:rsid w:val="00B47283"/>
    <w:rsid w:val="00B51781"/>
    <w:rsid w:val="00B573EA"/>
    <w:rsid w:val="00B61C95"/>
    <w:rsid w:val="00B71616"/>
    <w:rsid w:val="00B71CC5"/>
    <w:rsid w:val="00B73092"/>
    <w:rsid w:val="00B80F3F"/>
    <w:rsid w:val="00B85CF5"/>
    <w:rsid w:val="00B95B57"/>
    <w:rsid w:val="00BA1010"/>
    <w:rsid w:val="00BA1B6F"/>
    <w:rsid w:val="00BA36E4"/>
    <w:rsid w:val="00BA57FB"/>
    <w:rsid w:val="00BB431D"/>
    <w:rsid w:val="00BB704D"/>
    <w:rsid w:val="00BC1CBA"/>
    <w:rsid w:val="00BC534D"/>
    <w:rsid w:val="00BC795F"/>
    <w:rsid w:val="00BD19E1"/>
    <w:rsid w:val="00BD1EEF"/>
    <w:rsid w:val="00BD59D4"/>
    <w:rsid w:val="00BE034A"/>
    <w:rsid w:val="00BF3C6B"/>
    <w:rsid w:val="00BF6916"/>
    <w:rsid w:val="00C06D75"/>
    <w:rsid w:val="00C075BF"/>
    <w:rsid w:val="00C07ED1"/>
    <w:rsid w:val="00C159BF"/>
    <w:rsid w:val="00C16082"/>
    <w:rsid w:val="00C16219"/>
    <w:rsid w:val="00C16646"/>
    <w:rsid w:val="00C229A3"/>
    <w:rsid w:val="00C24B2D"/>
    <w:rsid w:val="00C3208F"/>
    <w:rsid w:val="00C37B3C"/>
    <w:rsid w:val="00C40BF5"/>
    <w:rsid w:val="00C412D0"/>
    <w:rsid w:val="00C41575"/>
    <w:rsid w:val="00C425D0"/>
    <w:rsid w:val="00C432E6"/>
    <w:rsid w:val="00C51EF9"/>
    <w:rsid w:val="00C54AC6"/>
    <w:rsid w:val="00C67422"/>
    <w:rsid w:val="00C678CB"/>
    <w:rsid w:val="00C703DB"/>
    <w:rsid w:val="00C70A53"/>
    <w:rsid w:val="00C7130D"/>
    <w:rsid w:val="00C801B5"/>
    <w:rsid w:val="00C84851"/>
    <w:rsid w:val="00C878B6"/>
    <w:rsid w:val="00C94B81"/>
    <w:rsid w:val="00C95846"/>
    <w:rsid w:val="00C96524"/>
    <w:rsid w:val="00C971A0"/>
    <w:rsid w:val="00CA4120"/>
    <w:rsid w:val="00CB174B"/>
    <w:rsid w:val="00CB1FC7"/>
    <w:rsid w:val="00CB6187"/>
    <w:rsid w:val="00CC4D6F"/>
    <w:rsid w:val="00CD12E1"/>
    <w:rsid w:val="00CD41A4"/>
    <w:rsid w:val="00CD6116"/>
    <w:rsid w:val="00CE521E"/>
    <w:rsid w:val="00CE5756"/>
    <w:rsid w:val="00CF14B2"/>
    <w:rsid w:val="00CF3E0A"/>
    <w:rsid w:val="00CF457D"/>
    <w:rsid w:val="00D0021C"/>
    <w:rsid w:val="00D10AC1"/>
    <w:rsid w:val="00D11A8E"/>
    <w:rsid w:val="00D26732"/>
    <w:rsid w:val="00D2756C"/>
    <w:rsid w:val="00D36020"/>
    <w:rsid w:val="00D4076E"/>
    <w:rsid w:val="00D55DBB"/>
    <w:rsid w:val="00D6010B"/>
    <w:rsid w:val="00D66B24"/>
    <w:rsid w:val="00D70C92"/>
    <w:rsid w:val="00D740FE"/>
    <w:rsid w:val="00D7707F"/>
    <w:rsid w:val="00D8169A"/>
    <w:rsid w:val="00D85B5D"/>
    <w:rsid w:val="00D86AFF"/>
    <w:rsid w:val="00D936BD"/>
    <w:rsid w:val="00D9468E"/>
    <w:rsid w:val="00D959F1"/>
    <w:rsid w:val="00DA0C1F"/>
    <w:rsid w:val="00DA140E"/>
    <w:rsid w:val="00DA414B"/>
    <w:rsid w:val="00DA72D2"/>
    <w:rsid w:val="00DB19A0"/>
    <w:rsid w:val="00DB1A39"/>
    <w:rsid w:val="00DB60A2"/>
    <w:rsid w:val="00DC0FF1"/>
    <w:rsid w:val="00DD1D9F"/>
    <w:rsid w:val="00DD236F"/>
    <w:rsid w:val="00DD23AC"/>
    <w:rsid w:val="00DD3C4E"/>
    <w:rsid w:val="00DD4150"/>
    <w:rsid w:val="00DD76EC"/>
    <w:rsid w:val="00DE5997"/>
    <w:rsid w:val="00DF09BE"/>
    <w:rsid w:val="00DF3F6A"/>
    <w:rsid w:val="00DF4B6C"/>
    <w:rsid w:val="00DF5C49"/>
    <w:rsid w:val="00DF7692"/>
    <w:rsid w:val="00DF7CAC"/>
    <w:rsid w:val="00E00ED2"/>
    <w:rsid w:val="00E022A4"/>
    <w:rsid w:val="00E02D36"/>
    <w:rsid w:val="00E06266"/>
    <w:rsid w:val="00E133B2"/>
    <w:rsid w:val="00E13652"/>
    <w:rsid w:val="00E152E5"/>
    <w:rsid w:val="00E16511"/>
    <w:rsid w:val="00E204AE"/>
    <w:rsid w:val="00E221C8"/>
    <w:rsid w:val="00E22C0C"/>
    <w:rsid w:val="00E24511"/>
    <w:rsid w:val="00E26D2F"/>
    <w:rsid w:val="00E32202"/>
    <w:rsid w:val="00E37CF8"/>
    <w:rsid w:val="00E37F67"/>
    <w:rsid w:val="00E421EC"/>
    <w:rsid w:val="00E44A26"/>
    <w:rsid w:val="00E44F01"/>
    <w:rsid w:val="00E463F4"/>
    <w:rsid w:val="00E46590"/>
    <w:rsid w:val="00E60A88"/>
    <w:rsid w:val="00E622F3"/>
    <w:rsid w:val="00E64E1E"/>
    <w:rsid w:val="00E65981"/>
    <w:rsid w:val="00E66B18"/>
    <w:rsid w:val="00E702D0"/>
    <w:rsid w:val="00E71B05"/>
    <w:rsid w:val="00E73156"/>
    <w:rsid w:val="00E76CB9"/>
    <w:rsid w:val="00E80475"/>
    <w:rsid w:val="00E80D95"/>
    <w:rsid w:val="00E81C22"/>
    <w:rsid w:val="00E82FEF"/>
    <w:rsid w:val="00E83428"/>
    <w:rsid w:val="00E83A5F"/>
    <w:rsid w:val="00E871BB"/>
    <w:rsid w:val="00E8770D"/>
    <w:rsid w:val="00E91EF8"/>
    <w:rsid w:val="00E92553"/>
    <w:rsid w:val="00E9464A"/>
    <w:rsid w:val="00E9560F"/>
    <w:rsid w:val="00EA5E1D"/>
    <w:rsid w:val="00EA7B16"/>
    <w:rsid w:val="00EA7B6B"/>
    <w:rsid w:val="00EA7C1C"/>
    <w:rsid w:val="00EB21F2"/>
    <w:rsid w:val="00EB4624"/>
    <w:rsid w:val="00EC1734"/>
    <w:rsid w:val="00EC4DC6"/>
    <w:rsid w:val="00EC4EF4"/>
    <w:rsid w:val="00EC65DD"/>
    <w:rsid w:val="00ED2DF6"/>
    <w:rsid w:val="00EE2729"/>
    <w:rsid w:val="00EE2E64"/>
    <w:rsid w:val="00EE34AC"/>
    <w:rsid w:val="00EE4066"/>
    <w:rsid w:val="00EE4250"/>
    <w:rsid w:val="00EE55C4"/>
    <w:rsid w:val="00EE5F2F"/>
    <w:rsid w:val="00EF17ED"/>
    <w:rsid w:val="00EF1E46"/>
    <w:rsid w:val="00EF2F44"/>
    <w:rsid w:val="00EF41FF"/>
    <w:rsid w:val="00F00671"/>
    <w:rsid w:val="00F053EF"/>
    <w:rsid w:val="00F0757E"/>
    <w:rsid w:val="00F1425B"/>
    <w:rsid w:val="00F14F2D"/>
    <w:rsid w:val="00F154CF"/>
    <w:rsid w:val="00F2074F"/>
    <w:rsid w:val="00F21520"/>
    <w:rsid w:val="00F25388"/>
    <w:rsid w:val="00F26B4B"/>
    <w:rsid w:val="00F34F6D"/>
    <w:rsid w:val="00F36762"/>
    <w:rsid w:val="00F37244"/>
    <w:rsid w:val="00F375AC"/>
    <w:rsid w:val="00F43994"/>
    <w:rsid w:val="00F50B5A"/>
    <w:rsid w:val="00F50F69"/>
    <w:rsid w:val="00F54080"/>
    <w:rsid w:val="00F62C78"/>
    <w:rsid w:val="00F679AC"/>
    <w:rsid w:val="00F67FA3"/>
    <w:rsid w:val="00F67FF6"/>
    <w:rsid w:val="00F831AB"/>
    <w:rsid w:val="00F863D5"/>
    <w:rsid w:val="00F86AB2"/>
    <w:rsid w:val="00F901AD"/>
    <w:rsid w:val="00F91ED6"/>
    <w:rsid w:val="00F93313"/>
    <w:rsid w:val="00F97B07"/>
    <w:rsid w:val="00F97B47"/>
    <w:rsid w:val="00FA0B70"/>
    <w:rsid w:val="00FA725E"/>
    <w:rsid w:val="00FB2F05"/>
    <w:rsid w:val="00FB64DD"/>
    <w:rsid w:val="00FC01D4"/>
    <w:rsid w:val="00FC63A6"/>
    <w:rsid w:val="00FD1EF0"/>
    <w:rsid w:val="00FE24F0"/>
    <w:rsid w:val="00FE2C73"/>
    <w:rsid w:val="00FE66CC"/>
    <w:rsid w:val="00FF08BA"/>
    <w:rsid w:val="00FF2EFF"/>
    <w:rsid w:val="00FF4292"/>
    <w:rsid w:val="00FF7A4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2B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62BA"/>
    <w:pPr>
      <w:tabs>
        <w:tab w:val="center" w:pos="4320"/>
        <w:tab w:val="right" w:pos="8640"/>
      </w:tabs>
    </w:pPr>
  </w:style>
  <w:style w:type="character" w:customStyle="1" w:styleId="HeaderChar">
    <w:name w:val="Header Char"/>
    <w:basedOn w:val="DefaultParagraphFont"/>
    <w:link w:val="Header"/>
    <w:rsid w:val="009B62BA"/>
    <w:rPr>
      <w:rFonts w:ascii="Times New Roman" w:eastAsia="Times New Roman" w:hAnsi="Times New Roman" w:cs="Times New Roman"/>
      <w:sz w:val="24"/>
      <w:szCs w:val="24"/>
      <w:lang w:val="en-GB"/>
    </w:rPr>
  </w:style>
  <w:style w:type="paragraph" w:styleId="Footer">
    <w:name w:val="footer"/>
    <w:basedOn w:val="Normal"/>
    <w:link w:val="FooterChar"/>
    <w:rsid w:val="009B62BA"/>
    <w:pPr>
      <w:tabs>
        <w:tab w:val="center" w:pos="4320"/>
        <w:tab w:val="right" w:pos="8640"/>
      </w:tabs>
    </w:pPr>
  </w:style>
  <w:style w:type="character" w:customStyle="1" w:styleId="FooterChar">
    <w:name w:val="Footer Char"/>
    <w:basedOn w:val="DefaultParagraphFont"/>
    <w:link w:val="Footer"/>
    <w:rsid w:val="009B62BA"/>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9B62B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2B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62BA"/>
    <w:pPr>
      <w:tabs>
        <w:tab w:val="center" w:pos="4320"/>
        <w:tab w:val="right" w:pos="8640"/>
      </w:tabs>
    </w:pPr>
  </w:style>
  <w:style w:type="character" w:customStyle="1" w:styleId="HeaderChar">
    <w:name w:val="Header Char"/>
    <w:basedOn w:val="DefaultParagraphFont"/>
    <w:link w:val="Header"/>
    <w:rsid w:val="009B62BA"/>
    <w:rPr>
      <w:rFonts w:ascii="Times New Roman" w:eastAsia="Times New Roman" w:hAnsi="Times New Roman" w:cs="Times New Roman"/>
      <w:sz w:val="24"/>
      <w:szCs w:val="24"/>
      <w:lang w:val="en-GB"/>
    </w:rPr>
  </w:style>
  <w:style w:type="paragraph" w:styleId="Footer">
    <w:name w:val="footer"/>
    <w:basedOn w:val="Normal"/>
    <w:link w:val="FooterChar"/>
    <w:rsid w:val="009B62BA"/>
    <w:pPr>
      <w:tabs>
        <w:tab w:val="center" w:pos="4320"/>
        <w:tab w:val="right" w:pos="8640"/>
      </w:tabs>
    </w:pPr>
  </w:style>
  <w:style w:type="character" w:customStyle="1" w:styleId="FooterChar">
    <w:name w:val="Footer Char"/>
    <w:basedOn w:val="DefaultParagraphFont"/>
    <w:link w:val="Footer"/>
    <w:rsid w:val="009B62BA"/>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9B62B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EFBD8-903C-46AD-84D6-AD32EAAA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Jóhannes Tómasson</dc:creator>
  <cp:lastModifiedBy>Jóhannes Tómasson</cp:lastModifiedBy>
  <cp:revision>4</cp:revision>
  <dcterms:created xsi:type="dcterms:W3CDTF">2014-09-26T10:41:00Z</dcterms:created>
  <dcterms:modified xsi:type="dcterms:W3CDTF">2014-09-26T11:40:00Z</dcterms:modified>
</cp:coreProperties>
</file>