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1F" w:rsidRDefault="004B571F" w:rsidP="004B571F">
      <w:pPr>
        <w:ind w:right="-694"/>
        <w:rPr>
          <w:sz w:val="22"/>
          <w:szCs w:val="22"/>
          <w:lang w:val="da-DK"/>
        </w:rPr>
      </w:pPr>
    </w:p>
    <w:p w:rsidR="004B571F" w:rsidRDefault="004B571F" w:rsidP="004B571F">
      <w:pPr>
        <w:jc w:val="center"/>
        <w:rPr>
          <w:b/>
          <w:sz w:val="32"/>
        </w:rPr>
      </w:pPr>
      <w:r>
        <w:rPr>
          <w:b/>
          <w:sz w:val="32"/>
        </w:rPr>
        <w:t>Reglugerð</w:t>
      </w:r>
    </w:p>
    <w:p w:rsidR="004B571F" w:rsidRDefault="004B571F" w:rsidP="004B571F">
      <w:pPr>
        <w:jc w:val="center"/>
        <w:rPr>
          <w:b/>
          <w:sz w:val="8"/>
        </w:rPr>
      </w:pPr>
    </w:p>
    <w:p w:rsidR="004B571F" w:rsidRDefault="004B571F" w:rsidP="004B571F">
      <w:pPr>
        <w:jc w:val="center"/>
      </w:pPr>
      <w:r>
        <w:rPr>
          <w:b/>
        </w:rPr>
        <w:t>um breytingu á reglugerð nr. 348/2007 um notkun öryggis- og verndarbúnaðar í ökutækjum.</w:t>
      </w:r>
    </w:p>
    <w:p w:rsidR="004B571F" w:rsidRDefault="004B571F" w:rsidP="004B571F">
      <w:pPr>
        <w:rPr>
          <w:sz w:val="36"/>
        </w:rPr>
      </w:pPr>
    </w:p>
    <w:p w:rsidR="004B571F" w:rsidRDefault="004B571F" w:rsidP="004B571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gr.</w:t>
      </w:r>
    </w:p>
    <w:p w:rsidR="004B571F" w:rsidRDefault="00E60B15" w:rsidP="004D7566">
      <w:pPr>
        <w:jc w:val="both"/>
      </w:pPr>
      <w:r>
        <w:t xml:space="preserve">Við 8. gr. bætist nýr liður, c-liður, sem orðast </w:t>
      </w:r>
      <w:bookmarkStart w:id="0" w:name="_GoBack"/>
      <w:bookmarkEnd w:id="0"/>
      <w:r>
        <w:t>svo:</w:t>
      </w:r>
    </w:p>
    <w:p w:rsidR="004D7566" w:rsidRPr="00AB1DB7" w:rsidRDefault="004D7566" w:rsidP="004D7566">
      <w:pPr>
        <w:jc w:val="both"/>
        <w:rPr>
          <w:sz w:val="12"/>
        </w:rPr>
      </w:pPr>
    </w:p>
    <w:p w:rsidR="00E60B15" w:rsidRDefault="004D7566" w:rsidP="004D7566">
      <w:pPr>
        <w:ind w:left="360"/>
        <w:jc w:val="both"/>
      </w:pPr>
      <w:r>
        <w:t xml:space="preserve">c. </w:t>
      </w:r>
      <w:r w:rsidR="00E60B15">
        <w:t xml:space="preserve">Framkvæmdartilskipun framkvæmdastjórnarinnar 2014/37/ESB frá 27. febrúar </w:t>
      </w:r>
      <w:r>
        <w:t xml:space="preserve"> </w:t>
      </w:r>
      <w:r w:rsidR="00E60B15">
        <w:t>2014 um breytingu á tilskipun ráðsins 91/671/EBE varðandi skyldubundna notkun öryggisbelta og aðhaldsbúnaðar fyrir börn í ökutækjum</w:t>
      </w:r>
      <w:r w:rsidR="00E60B15" w:rsidRPr="00E60B15">
        <w:t xml:space="preserve">, samkvæmt ákvörðun sameiginlegu EES-nefndarinnar um breytingu á XIII. viðauka við EES-samninginn </w:t>
      </w:r>
      <w:r w:rsidR="00A12336">
        <w:t>nr. 228/2014 frá 24. október 2014</w:t>
      </w:r>
      <w:r w:rsidR="00E60B15" w:rsidRPr="004D7566">
        <w:t>.</w:t>
      </w:r>
      <w:r w:rsidR="00E60B15" w:rsidRPr="00E60B15">
        <w:t xml:space="preserve"> </w:t>
      </w:r>
      <w:r>
        <w:t>Tilskipunin</w:t>
      </w:r>
      <w:r w:rsidRPr="004D7566">
        <w:t xml:space="preserve"> er birt í EES-viðbæti við Stjórna</w:t>
      </w:r>
      <w:r>
        <w:t>rtíðindi Evrópusambandsins nr. 73</w:t>
      </w:r>
      <w:r w:rsidRPr="004D7566">
        <w:t xml:space="preserve"> frá </w:t>
      </w:r>
      <w:r>
        <w:t>4. desember 2014</w:t>
      </w:r>
      <w:r w:rsidRPr="004D7566">
        <w:t>, bls. 5</w:t>
      </w:r>
      <w:r w:rsidR="00C162BA">
        <w:t>9</w:t>
      </w:r>
      <w:r>
        <w:t>9</w:t>
      </w:r>
      <w:r w:rsidRPr="004D7566">
        <w:t xml:space="preserve">.  </w:t>
      </w:r>
    </w:p>
    <w:p w:rsidR="00E60B15" w:rsidRDefault="00E60B15" w:rsidP="004B571F">
      <w:pPr>
        <w:ind w:firstLine="360"/>
        <w:jc w:val="both"/>
      </w:pPr>
    </w:p>
    <w:p w:rsidR="004B571F" w:rsidRDefault="004B571F" w:rsidP="004B571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gr.</w:t>
      </w:r>
    </w:p>
    <w:p w:rsidR="00E40621" w:rsidRDefault="00137C53" w:rsidP="004D7566">
      <w:r w:rsidRPr="00137C53">
        <w:t>III. viðauki</w:t>
      </w:r>
      <w:r w:rsidR="004D7566">
        <w:t xml:space="preserve"> breytist þannig:</w:t>
      </w:r>
    </w:p>
    <w:p w:rsidR="004D7566" w:rsidRPr="00AB1DB7" w:rsidRDefault="004D7566" w:rsidP="004D7566">
      <w:pPr>
        <w:rPr>
          <w:sz w:val="10"/>
        </w:rPr>
      </w:pPr>
    </w:p>
    <w:p w:rsidR="004D7566" w:rsidRPr="00AB1DB7" w:rsidRDefault="00AB1DB7" w:rsidP="00AB1DB7">
      <w:r>
        <w:t xml:space="preserve">a.  </w:t>
      </w:r>
      <w:r w:rsidR="004D7566" w:rsidRPr="00AB1DB7">
        <w:t>Í stað núgildandi 1. mgr., kemur ný 1. mgr. sem orðast svo:</w:t>
      </w:r>
    </w:p>
    <w:p w:rsidR="00DF7787" w:rsidRPr="00AB1DB7" w:rsidRDefault="00DF7787" w:rsidP="00DF7787">
      <w:pPr>
        <w:pStyle w:val="ListParagraph"/>
        <w:ind w:left="426"/>
        <w:rPr>
          <w:sz w:val="10"/>
        </w:rPr>
      </w:pPr>
    </w:p>
    <w:p w:rsidR="00DF7787" w:rsidRPr="00AB1DB7" w:rsidRDefault="00AB1DB7" w:rsidP="00AB1DB7">
      <w:pPr>
        <w:jc w:val="both"/>
      </w:pPr>
      <w:r>
        <w:t xml:space="preserve">     </w:t>
      </w:r>
      <w:r w:rsidR="00DF7787" w:rsidRPr="00AB1DB7">
        <w:t>Öryggis- og verndarbúnaður barna í ökutækjum skal uppfylla kröfur</w:t>
      </w:r>
      <w:r w:rsidRPr="00AB1DB7">
        <w:t xml:space="preserve"> samkvæmt</w:t>
      </w:r>
      <w:r w:rsidR="00DF7787" w:rsidRPr="00AB1DB7">
        <w:t>:</w:t>
      </w:r>
    </w:p>
    <w:p w:rsidR="00DF7787" w:rsidRPr="00AB1DB7" w:rsidRDefault="00DF7787" w:rsidP="00E763C6">
      <w:pPr>
        <w:ind w:left="1134" w:hanging="414"/>
        <w:jc w:val="both"/>
      </w:pPr>
      <w:r w:rsidRPr="00AB1DB7">
        <w:rPr>
          <w:lang w:val="en-GB"/>
        </w:rPr>
        <w:t>a.</w:t>
      </w:r>
      <w:r w:rsidRPr="00AB1DB7">
        <w:t xml:space="preserve">  reglugerð efnahagsnefndar Sameinuðu þjóðanna fyrir Evrópu  nr. 44.04  sbr. og tilskipun 77/541/EBE um samræmingu laga aðildarríkjanna varðandi öryggisbelti og aðhaldsbúnað í vélknúnum ökutækjum að tækniframförum</w:t>
      </w:r>
      <w:r w:rsidR="00AB1DB7" w:rsidRPr="00AB1DB7">
        <w:t>, eða</w:t>
      </w:r>
    </w:p>
    <w:p w:rsidR="00FD4DE4" w:rsidRDefault="00AB1DB7" w:rsidP="00FD4DE4">
      <w:pPr>
        <w:ind w:left="720"/>
        <w:jc w:val="both"/>
      </w:pPr>
      <w:r w:rsidRPr="00AB1DB7">
        <w:t>b.</w:t>
      </w:r>
      <w:r w:rsidR="00E763C6">
        <w:t xml:space="preserve">   </w:t>
      </w:r>
      <w:r w:rsidRPr="00AB1DB7">
        <w:t xml:space="preserve"> reglugerð efnahagsnefndar Sameinuðu þjóðanna fyrir Evrópu nr. 129.</w:t>
      </w:r>
    </w:p>
    <w:p w:rsidR="00DF7787" w:rsidRPr="00FD4DE4" w:rsidRDefault="00A70658" w:rsidP="00A70658">
      <w:pPr>
        <w:jc w:val="both"/>
      </w:pPr>
      <w:r>
        <w:t xml:space="preserve">      </w:t>
      </w:r>
      <w:r w:rsidR="00AB1DB7" w:rsidRPr="00FD4DE4">
        <w:t>með síðari breytingum reglugerðanna og tilskipunarinnar.</w:t>
      </w:r>
    </w:p>
    <w:p w:rsidR="00DF7787" w:rsidRDefault="00DF7787" w:rsidP="00DF7787">
      <w:pPr>
        <w:pStyle w:val="ListParagraph"/>
        <w:ind w:left="426"/>
      </w:pPr>
    </w:p>
    <w:p w:rsidR="004D7566" w:rsidRDefault="00AB1DB7" w:rsidP="00AB1DB7">
      <w:r>
        <w:t xml:space="preserve">b.   </w:t>
      </w:r>
      <w:r w:rsidR="00DF7787" w:rsidRPr="00AB1DB7">
        <w:t>Í lok viðaukans bætist ný málsgrein, 3. mgr. sem orðast svo:</w:t>
      </w:r>
    </w:p>
    <w:p w:rsidR="00AB1DB7" w:rsidRPr="00AB1DB7" w:rsidRDefault="00AB1DB7" w:rsidP="00AB1DB7">
      <w:pPr>
        <w:rPr>
          <w:sz w:val="10"/>
        </w:rPr>
      </w:pPr>
    </w:p>
    <w:p w:rsidR="004D7566" w:rsidRDefault="00AB1DB7" w:rsidP="00A70658">
      <w:pPr>
        <w:ind w:left="360"/>
        <w:jc w:val="both"/>
      </w:pPr>
      <w:r w:rsidRPr="00AB1DB7">
        <w:t>Öryggis- og verndarbúnaður</w:t>
      </w:r>
      <w:r>
        <w:t xml:space="preserve"> fyrir börn skal settur upp í samræmi</w:t>
      </w:r>
      <w:r w:rsidR="00E763C6">
        <w:t xml:space="preserve"> við </w:t>
      </w:r>
      <w:r>
        <w:t>uppsetningarupplýsingar (t.d. notendahandbók, bækling eða upplýsingar á rafrænu formi) sem framleiðandi búnaðarins útvegar þar sem því er lýst hvernig og í hvaða gerðir ökutækis er hægt að nota búnaðinn með öruggum hætti.</w:t>
      </w:r>
    </w:p>
    <w:p w:rsidR="00AB1DB7" w:rsidRPr="00137C53" w:rsidRDefault="00AB1DB7" w:rsidP="00AB1DB7">
      <w:pPr>
        <w:ind w:firstLine="360"/>
      </w:pPr>
    </w:p>
    <w:p w:rsidR="00E40621" w:rsidRDefault="00E40621" w:rsidP="004B571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gr.</w:t>
      </w:r>
    </w:p>
    <w:p w:rsidR="004B571F" w:rsidRDefault="004B571F" w:rsidP="00A70658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Reglugerð þessi, sem sett er með heimild í 71. gr. umferðarlaga nr. 50/1987, öðlast þegar gildi.</w:t>
      </w:r>
    </w:p>
    <w:p w:rsidR="00034A80" w:rsidRDefault="004B571F" w:rsidP="004B571F">
      <w:pPr>
        <w:spacing w:before="240"/>
        <w:jc w:val="center"/>
        <w:rPr>
          <w:i/>
        </w:rPr>
      </w:pPr>
      <w:r>
        <w:rPr>
          <w:rFonts w:ascii="Times" w:hAnsi="Times" w:cs="Times"/>
        </w:rPr>
        <w:t xml:space="preserve"> </w:t>
      </w:r>
      <w:r>
        <w:rPr>
          <w:i/>
        </w:rPr>
        <w:t>Innanríkisráðuneytinu,</w:t>
      </w:r>
    </w:p>
    <w:p w:rsidR="004B571F" w:rsidRDefault="004B571F" w:rsidP="004B571F">
      <w:pPr>
        <w:spacing w:before="240"/>
        <w:jc w:val="center"/>
        <w:rPr>
          <w:i/>
        </w:rPr>
      </w:pPr>
    </w:p>
    <w:p w:rsidR="004B571F" w:rsidRDefault="00A12336" w:rsidP="004B571F">
      <w:pPr>
        <w:pStyle w:val="Undirritun1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Ólöf Nordal.</w:t>
      </w:r>
    </w:p>
    <w:p w:rsidR="004B571F" w:rsidRDefault="004B571F" w:rsidP="004B571F">
      <w:pPr>
        <w:pStyle w:val="Undirritun1"/>
        <w:rPr>
          <w:rFonts w:ascii="Times New Roman" w:hAnsi="Times New Roman"/>
          <w:noProof w:val="0"/>
          <w:sz w:val="24"/>
          <w:szCs w:val="24"/>
        </w:rPr>
      </w:pPr>
    </w:p>
    <w:p w:rsidR="004B571F" w:rsidRDefault="004B571F" w:rsidP="004B571F">
      <w:pPr>
        <w:pStyle w:val="Undirritun1"/>
        <w:rPr>
          <w:rFonts w:ascii="Times New Roman" w:hAnsi="Times New Roman"/>
          <w:noProof w:val="0"/>
          <w:sz w:val="24"/>
          <w:szCs w:val="24"/>
        </w:rPr>
      </w:pPr>
    </w:p>
    <w:p w:rsidR="004B571F" w:rsidRDefault="004B571F" w:rsidP="004B571F">
      <w:pPr>
        <w:pStyle w:val="Undirritun1"/>
        <w:rPr>
          <w:rFonts w:ascii="Times New Roman" w:hAnsi="Times New Roman"/>
          <w:noProof w:val="0"/>
          <w:sz w:val="24"/>
          <w:szCs w:val="24"/>
        </w:rPr>
      </w:pPr>
    </w:p>
    <w:p w:rsidR="004B571F" w:rsidRDefault="004B571F" w:rsidP="004B571F">
      <w:pPr>
        <w:pStyle w:val="Undirritun2"/>
        <w:rPr>
          <w:noProof w:val="0"/>
        </w:rPr>
      </w:pPr>
      <w:r>
        <w:rPr>
          <w:noProof w:val="0"/>
        </w:rPr>
        <w:t>Ragnhildur Hjaltadóttir.</w:t>
      </w:r>
    </w:p>
    <w:p w:rsidR="004B571F" w:rsidRDefault="004B571F" w:rsidP="004B571F">
      <w:pPr>
        <w:ind w:right="-694"/>
        <w:rPr>
          <w:sz w:val="22"/>
          <w:szCs w:val="22"/>
          <w:lang w:val="da-DK"/>
        </w:rPr>
      </w:pPr>
    </w:p>
    <w:p w:rsidR="00C164DB" w:rsidRDefault="00C164DB" w:rsidP="004B571F">
      <w:pPr>
        <w:ind w:right="-694"/>
        <w:rPr>
          <w:sz w:val="22"/>
          <w:szCs w:val="22"/>
          <w:lang w:val="da-DK"/>
        </w:rPr>
      </w:pPr>
    </w:p>
    <w:p w:rsidR="004B571F" w:rsidRDefault="004B571F" w:rsidP="004B571F">
      <w:pPr>
        <w:ind w:right="-694"/>
        <w:rPr>
          <w:sz w:val="22"/>
          <w:szCs w:val="22"/>
          <w:lang w:val="da-DK"/>
        </w:rPr>
      </w:pPr>
    </w:p>
    <w:p w:rsidR="004B571F" w:rsidRDefault="004B571F" w:rsidP="004B571F">
      <w:pPr>
        <w:ind w:right="-694"/>
        <w:rPr>
          <w:sz w:val="22"/>
          <w:szCs w:val="22"/>
          <w:lang w:val="da-DK"/>
        </w:rPr>
      </w:pPr>
    </w:p>
    <w:p w:rsidR="004B571F" w:rsidRDefault="004B571F" w:rsidP="004B571F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>Greinargerð</w:t>
      </w:r>
    </w:p>
    <w:p w:rsidR="004B571F" w:rsidRDefault="004B571F" w:rsidP="004B571F">
      <w:pPr>
        <w:jc w:val="center"/>
        <w:rPr>
          <w:b/>
          <w:sz w:val="22"/>
        </w:rPr>
      </w:pPr>
    </w:p>
    <w:p w:rsidR="004B571F" w:rsidRDefault="004B571F" w:rsidP="004B571F">
      <w:pPr>
        <w:jc w:val="center"/>
        <w:rPr>
          <w:sz w:val="32"/>
        </w:rPr>
      </w:pPr>
      <w:r>
        <w:rPr>
          <w:sz w:val="32"/>
        </w:rPr>
        <w:t>Um 1.</w:t>
      </w:r>
      <w:r w:rsidR="00C327D0">
        <w:rPr>
          <w:sz w:val="32"/>
        </w:rPr>
        <w:t xml:space="preserve"> og 2.</w:t>
      </w:r>
      <w:r>
        <w:rPr>
          <w:sz w:val="32"/>
        </w:rPr>
        <w:t xml:space="preserve"> gr.</w:t>
      </w:r>
    </w:p>
    <w:p w:rsidR="004B571F" w:rsidRDefault="004B571F" w:rsidP="004B571F">
      <w:pPr>
        <w:jc w:val="center"/>
        <w:rPr>
          <w:sz w:val="16"/>
        </w:rPr>
      </w:pPr>
    </w:p>
    <w:p w:rsidR="004B571F" w:rsidRPr="00C327D0" w:rsidRDefault="00C327D0" w:rsidP="0029685E">
      <w:pPr>
        <w:ind w:right="-694"/>
        <w:jc w:val="both"/>
      </w:pPr>
      <w:r w:rsidRPr="00C327D0">
        <w:t>Með ákvæðunum er tilskipun 2014/37/ESB innleidd í íslenskan rétt. Efnislega fela breytingarnar í sér eftirfarandi tvö atriði:</w:t>
      </w:r>
    </w:p>
    <w:p w:rsidR="00C327D0" w:rsidRPr="00C327D0" w:rsidRDefault="00C327D0" w:rsidP="004B571F">
      <w:pPr>
        <w:ind w:right="-694"/>
      </w:pPr>
    </w:p>
    <w:p w:rsidR="00C327D0" w:rsidRPr="00CC5742" w:rsidRDefault="00FD4DE4" w:rsidP="0029685E">
      <w:pPr>
        <w:pStyle w:val="ListParagraph"/>
        <w:numPr>
          <w:ilvl w:val="0"/>
          <w:numId w:val="3"/>
        </w:numPr>
        <w:ind w:right="-694"/>
        <w:jc w:val="both"/>
        <w:rPr>
          <w:lang w:val="da-DK"/>
        </w:rPr>
      </w:pPr>
      <w:r>
        <w:rPr>
          <w:lang w:val="da-DK"/>
        </w:rPr>
        <w:t>Þar sem í 1. mgr. 1. gr. III. viðauka reglugerðar nr. 348/2007 er kveðið á um hvaða kröfur öryggis- og verndarbúnaður barna skal uppfylla, er nú einnig gefinn kostur á að búnaðurinn uppfylli</w:t>
      </w:r>
      <w:r w:rsidRPr="00FD4DE4">
        <w:rPr>
          <w:lang w:val="is-IS"/>
        </w:rPr>
        <w:t xml:space="preserve"> reglugerð efnahagsnefndar Sameinuðu þjóðanna fyrir Evrópu nr. 129.</w:t>
      </w:r>
      <w:r w:rsidR="00CC5742">
        <w:rPr>
          <w:lang w:val="is-IS"/>
        </w:rPr>
        <w:t xml:space="preserve"> Slíkur búnaður nefnist </w:t>
      </w:r>
      <w:r w:rsidR="00CC5742" w:rsidRPr="00CC5742">
        <w:rPr>
          <w:i/>
          <w:lang w:val="is-IS"/>
        </w:rPr>
        <w:t>„I-size“</w:t>
      </w:r>
      <w:r w:rsidR="00CC5742">
        <w:rPr>
          <w:lang w:val="is-IS"/>
        </w:rPr>
        <w:t xml:space="preserve"> búnaður, sem er nýtilkominn og beinist einkum að börnum 15 mánaða og yngri. Á umræddur búnaður að veita talsvert meira öryggi, m.a. með því að bjóða upp á möguleikann á bakvísandi barnabílstólum fyrir eldri börn en áður </w:t>
      </w:r>
      <w:r w:rsidR="00CC5742" w:rsidRPr="00CC5742">
        <w:rPr>
          <w:i/>
          <w:lang w:val="is-IS"/>
        </w:rPr>
        <w:t>(15 mánaða í stað 9-12 mánaða)</w:t>
      </w:r>
      <w:r w:rsidR="00CC5742">
        <w:rPr>
          <w:lang w:val="is-IS"/>
        </w:rPr>
        <w:t xml:space="preserve">, auk annarra öryggisþátta s.s. betri höfuð- og hálsvörn ásamt betri hliðarvörn en áður þekkist. </w:t>
      </w:r>
    </w:p>
    <w:p w:rsidR="00CC5742" w:rsidRPr="00A70658" w:rsidRDefault="00CC5742" w:rsidP="0029685E">
      <w:pPr>
        <w:pStyle w:val="ListParagraph"/>
        <w:ind w:left="720" w:right="-694"/>
        <w:jc w:val="both"/>
        <w:rPr>
          <w:sz w:val="10"/>
          <w:lang w:val="is-IS"/>
        </w:rPr>
      </w:pPr>
    </w:p>
    <w:p w:rsidR="00CC5742" w:rsidRPr="00FD4DE4" w:rsidRDefault="00CC5742" w:rsidP="0029685E">
      <w:pPr>
        <w:pStyle w:val="ListParagraph"/>
        <w:ind w:left="720" w:right="-694"/>
        <w:jc w:val="both"/>
        <w:rPr>
          <w:lang w:val="da-DK"/>
        </w:rPr>
      </w:pPr>
      <w:r>
        <w:rPr>
          <w:lang w:val="is-IS"/>
        </w:rPr>
        <w:t xml:space="preserve">Í samræmi við ákvæði tilskipunar 2014/37 er lagt til að reglugerð nr. 348/2007 bjóði upp á þann sveigjanleika að kröfur skv. a- og b-lið 1. mgr. 1. gr. </w:t>
      </w:r>
      <w:r w:rsidR="00F952C0">
        <w:rPr>
          <w:lang w:val="is-IS"/>
        </w:rPr>
        <w:t xml:space="preserve">III. viðauka gildi samhliða, nánar tiltekið þannig að öryggis- og verndarbúnaður verði annað hvort að uppfylla kröfur skv. a-lið </w:t>
      </w:r>
      <w:r w:rsidR="00F952C0" w:rsidRPr="00A70658">
        <w:rPr>
          <w:i/>
          <w:lang w:val="is-IS"/>
        </w:rPr>
        <w:t>(þær kröfur sem nú gilda – fyrir breytingar)</w:t>
      </w:r>
      <w:r w:rsidR="00F952C0">
        <w:rPr>
          <w:lang w:val="is-IS"/>
        </w:rPr>
        <w:t xml:space="preserve"> eða skv. b-lið </w:t>
      </w:r>
      <w:r w:rsidR="00F952C0" w:rsidRPr="00A70658">
        <w:rPr>
          <w:i/>
          <w:lang w:val="is-IS"/>
        </w:rPr>
        <w:t>(hinn nýi I-size búnaður).</w:t>
      </w:r>
      <w:r w:rsidR="00F952C0">
        <w:rPr>
          <w:lang w:val="is-IS"/>
        </w:rPr>
        <w:t xml:space="preserve"> Er breyting þessi því ekki íþyngjandi á neinn hátt heldur einungis til þess fallin að gefa fólki meira svigrúm og möguleika á auknu öryggi þegar kemur að vali á öryggis- og verndarbúnaði fyrir börn í ökutækjum.</w:t>
      </w:r>
    </w:p>
    <w:p w:rsidR="00FD4DE4" w:rsidRPr="00C327D0" w:rsidRDefault="00FD4DE4" w:rsidP="00FD4DE4">
      <w:pPr>
        <w:pStyle w:val="ListParagraph"/>
        <w:ind w:left="720" w:right="-694"/>
        <w:rPr>
          <w:lang w:val="da-DK"/>
        </w:rPr>
      </w:pPr>
    </w:p>
    <w:p w:rsidR="00C327D0" w:rsidRPr="00C327D0" w:rsidRDefault="00F952C0" w:rsidP="0029685E">
      <w:pPr>
        <w:pStyle w:val="ListParagraph"/>
        <w:numPr>
          <w:ilvl w:val="0"/>
          <w:numId w:val="3"/>
        </w:numPr>
        <w:ind w:right="-694"/>
        <w:jc w:val="both"/>
        <w:rPr>
          <w:lang w:val="da-DK"/>
        </w:rPr>
      </w:pPr>
      <w:r>
        <w:rPr>
          <w:lang w:val="da-DK"/>
        </w:rPr>
        <w:t xml:space="preserve">Síðari breytingin er sú að </w:t>
      </w:r>
      <w:r w:rsidR="0029685E">
        <w:rPr>
          <w:lang w:val="da-DK"/>
        </w:rPr>
        <w:t>í III. viðauka kemur ný 3. mgr. þar sem sérstaklega er kveðið á um að uppsetning búnaðar skuli vera skv. fyrirmælum framleiðanda hans. Þetta er í samræmi við ákvæði tilskipunar 2014/37/ESB.</w:t>
      </w:r>
    </w:p>
    <w:p w:rsidR="00C327D0" w:rsidRPr="00C327D0" w:rsidRDefault="00C327D0" w:rsidP="00C327D0">
      <w:pPr>
        <w:ind w:right="-694"/>
        <w:rPr>
          <w:lang w:val="da-DK"/>
        </w:rPr>
      </w:pPr>
    </w:p>
    <w:p w:rsidR="00C327D0" w:rsidRPr="00C327D0" w:rsidRDefault="00C327D0" w:rsidP="0029685E">
      <w:pPr>
        <w:ind w:right="-694"/>
        <w:jc w:val="both"/>
        <w:rPr>
          <w:lang w:val="da-DK"/>
        </w:rPr>
      </w:pPr>
      <w:r w:rsidRPr="00C327D0">
        <w:rPr>
          <w:lang w:val="da-DK"/>
        </w:rPr>
        <w:t>Samandregið fela breytingar þessar því í sér innleiðingu á tilskipun 2014/37/ESB, auk þess að vera til þess fallnar að auka öryggi barna í bifreiðum.</w:t>
      </w:r>
    </w:p>
    <w:sectPr w:rsidR="00C327D0" w:rsidRPr="00C327D0" w:rsidSect="004B5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42" w:rsidRDefault="00CC4842">
      <w:r>
        <w:separator/>
      </w:r>
    </w:p>
  </w:endnote>
  <w:endnote w:type="continuationSeparator" w:id="0">
    <w:p w:rsidR="00CC4842" w:rsidRDefault="00CC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80" w:rsidRDefault="00034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80" w:rsidRDefault="00034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80" w:rsidRDefault="0003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42" w:rsidRDefault="00CC4842">
      <w:r>
        <w:separator/>
      </w:r>
    </w:p>
  </w:footnote>
  <w:footnote w:type="continuationSeparator" w:id="0">
    <w:p w:rsidR="00CC4842" w:rsidRDefault="00CC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80" w:rsidRDefault="00C65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943480" o:spid="_x0000_s6147" type="#_x0000_t136" style="position:absolute;margin-left:0;margin-top:0;width:390.35pt;height:1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1F" w:rsidRDefault="00C656FE" w:rsidP="004B571F">
    <w:pPr>
      <w:rPr>
        <w:sz w:val="10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943481" o:spid="_x0000_s6148" type="#_x0000_t136" style="position:absolute;margin-left:0;margin-top:0;width:390.35pt;height:1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  <w:r w:rsidR="004B571F">
      <w:rPr>
        <w:i/>
      </w:rPr>
      <w:t xml:space="preserve">                          </w:t>
    </w:r>
    <w:r w:rsidR="004B571F">
      <w:t xml:space="preserve"> </w:t>
    </w:r>
  </w:p>
  <w:p w:rsidR="004B571F" w:rsidRDefault="004B571F" w:rsidP="004B571F">
    <w:pPr>
      <w:rPr>
        <w:lang w:val="en-GB"/>
      </w:rPr>
    </w:pPr>
    <w:r>
      <w:t>-------------------------------------------------------------------------------------------------------</w:t>
    </w:r>
  </w:p>
  <w:p w:rsidR="00E31151" w:rsidRPr="00A70658" w:rsidRDefault="00E31151" w:rsidP="00BA3C2B">
    <w:pPr>
      <w:pStyle w:val="Header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80" w:rsidRDefault="00C65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943479" o:spid="_x0000_s6146" type="#_x0000_t136" style="position:absolute;margin-left:0;margin-top:0;width:390.35pt;height:1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639"/>
    <w:multiLevelType w:val="hybridMultilevel"/>
    <w:tmpl w:val="917228CC"/>
    <w:lvl w:ilvl="0" w:tplc="040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A33D2"/>
    <w:multiLevelType w:val="hybridMultilevel"/>
    <w:tmpl w:val="9050D574"/>
    <w:lvl w:ilvl="0" w:tplc="C4EAF2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75773"/>
    <w:multiLevelType w:val="hybridMultilevel"/>
    <w:tmpl w:val="4E8A52B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neItemId" w:val="31633610693868750000"/>
  </w:docVars>
  <w:rsids>
    <w:rsidRoot w:val="00D62D7D"/>
    <w:rsid w:val="00001392"/>
    <w:rsid w:val="000245F3"/>
    <w:rsid w:val="00034A80"/>
    <w:rsid w:val="00035E9D"/>
    <w:rsid w:val="000626E8"/>
    <w:rsid w:val="000A12B0"/>
    <w:rsid w:val="000E1D0A"/>
    <w:rsid w:val="00110EBA"/>
    <w:rsid w:val="00133E20"/>
    <w:rsid w:val="00136FDA"/>
    <w:rsid w:val="00137C53"/>
    <w:rsid w:val="00164A9A"/>
    <w:rsid w:val="00181B64"/>
    <w:rsid w:val="001C3258"/>
    <w:rsid w:val="00201075"/>
    <w:rsid w:val="00227C96"/>
    <w:rsid w:val="00231B59"/>
    <w:rsid w:val="00277459"/>
    <w:rsid w:val="0029685E"/>
    <w:rsid w:val="00297C57"/>
    <w:rsid w:val="002B621E"/>
    <w:rsid w:val="0038044F"/>
    <w:rsid w:val="0038198A"/>
    <w:rsid w:val="003A7905"/>
    <w:rsid w:val="003B2470"/>
    <w:rsid w:val="003B4AD5"/>
    <w:rsid w:val="003D3012"/>
    <w:rsid w:val="003D411A"/>
    <w:rsid w:val="004052D6"/>
    <w:rsid w:val="00465979"/>
    <w:rsid w:val="004A1218"/>
    <w:rsid w:val="004B328B"/>
    <w:rsid w:val="004B571F"/>
    <w:rsid w:val="004D075A"/>
    <w:rsid w:val="004D7566"/>
    <w:rsid w:val="005273CF"/>
    <w:rsid w:val="00533A4F"/>
    <w:rsid w:val="00567EC6"/>
    <w:rsid w:val="00595097"/>
    <w:rsid w:val="006757FC"/>
    <w:rsid w:val="0068683D"/>
    <w:rsid w:val="006B726C"/>
    <w:rsid w:val="006C661A"/>
    <w:rsid w:val="006D087B"/>
    <w:rsid w:val="00722AE3"/>
    <w:rsid w:val="007C2D8A"/>
    <w:rsid w:val="0082311C"/>
    <w:rsid w:val="008346EB"/>
    <w:rsid w:val="008E013A"/>
    <w:rsid w:val="008E4A3A"/>
    <w:rsid w:val="0096313F"/>
    <w:rsid w:val="00975A01"/>
    <w:rsid w:val="00A02155"/>
    <w:rsid w:val="00A12336"/>
    <w:rsid w:val="00A517B5"/>
    <w:rsid w:val="00A60EB1"/>
    <w:rsid w:val="00A66893"/>
    <w:rsid w:val="00A70658"/>
    <w:rsid w:val="00AB09FC"/>
    <w:rsid w:val="00AB1DB7"/>
    <w:rsid w:val="00AF1CA8"/>
    <w:rsid w:val="00B12808"/>
    <w:rsid w:val="00B5132A"/>
    <w:rsid w:val="00B56383"/>
    <w:rsid w:val="00B74375"/>
    <w:rsid w:val="00BA3C2B"/>
    <w:rsid w:val="00BB5EE5"/>
    <w:rsid w:val="00BE0B51"/>
    <w:rsid w:val="00BF6C88"/>
    <w:rsid w:val="00C162BA"/>
    <w:rsid w:val="00C164DB"/>
    <w:rsid w:val="00C327D0"/>
    <w:rsid w:val="00C656FE"/>
    <w:rsid w:val="00C75808"/>
    <w:rsid w:val="00CC4842"/>
    <w:rsid w:val="00CC5742"/>
    <w:rsid w:val="00D5137B"/>
    <w:rsid w:val="00D62C84"/>
    <w:rsid w:val="00D62D7D"/>
    <w:rsid w:val="00DF7787"/>
    <w:rsid w:val="00E129EC"/>
    <w:rsid w:val="00E30FE1"/>
    <w:rsid w:val="00E31151"/>
    <w:rsid w:val="00E40621"/>
    <w:rsid w:val="00E423D1"/>
    <w:rsid w:val="00E60B15"/>
    <w:rsid w:val="00E763C6"/>
    <w:rsid w:val="00F0386E"/>
    <w:rsid w:val="00F30D66"/>
    <w:rsid w:val="00F80FAA"/>
    <w:rsid w:val="00F82D2A"/>
    <w:rsid w:val="00F952C0"/>
    <w:rsid w:val="00FB1267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C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7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90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571F"/>
    <w:pPr>
      <w:ind w:left="708"/>
    </w:pPr>
    <w:rPr>
      <w:lang w:val="en-GB"/>
    </w:rPr>
  </w:style>
  <w:style w:type="table" w:styleId="TableGrid">
    <w:name w:val="Table Grid"/>
    <w:basedOn w:val="TableNormal"/>
    <w:rsid w:val="004B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irritun1">
    <w:name w:val="Undirritun 1"/>
    <w:basedOn w:val="Normal"/>
    <w:autoRedefine/>
    <w:qFormat/>
    <w:rsid w:val="004B571F"/>
    <w:pPr>
      <w:tabs>
        <w:tab w:val="left" w:pos="397"/>
        <w:tab w:val="left" w:pos="709"/>
        <w:tab w:val="right" w:pos="7796"/>
      </w:tabs>
      <w:jc w:val="center"/>
    </w:pPr>
    <w:rPr>
      <w:rFonts w:ascii="Times" w:hAnsi="Times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B571F"/>
    <w:pPr>
      <w:pBdr>
        <w:top w:val="single" w:sz="4" w:space="1" w:color="auto"/>
      </w:pBdr>
      <w:tabs>
        <w:tab w:val="left" w:pos="397"/>
        <w:tab w:val="left" w:pos="709"/>
        <w:tab w:val="right" w:pos="8222"/>
      </w:tabs>
      <w:ind w:left="5954" w:firstLine="142"/>
      <w:jc w:val="center"/>
    </w:pPr>
    <w:rPr>
      <w:rFonts w:ascii="Times" w:hAnsi="Times"/>
      <w:i/>
      <w:noProof/>
      <w:sz w:val="21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C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7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90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571F"/>
    <w:pPr>
      <w:ind w:left="708"/>
    </w:pPr>
    <w:rPr>
      <w:lang w:val="en-GB"/>
    </w:rPr>
  </w:style>
  <w:style w:type="table" w:styleId="TableGrid">
    <w:name w:val="Table Grid"/>
    <w:basedOn w:val="TableNormal"/>
    <w:rsid w:val="004B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irritun1">
    <w:name w:val="Undirritun 1"/>
    <w:basedOn w:val="Normal"/>
    <w:autoRedefine/>
    <w:qFormat/>
    <w:rsid w:val="004B571F"/>
    <w:pPr>
      <w:tabs>
        <w:tab w:val="left" w:pos="397"/>
        <w:tab w:val="left" w:pos="709"/>
        <w:tab w:val="right" w:pos="7796"/>
      </w:tabs>
      <w:jc w:val="center"/>
    </w:pPr>
    <w:rPr>
      <w:rFonts w:ascii="Times" w:hAnsi="Times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B571F"/>
    <w:pPr>
      <w:pBdr>
        <w:top w:val="single" w:sz="4" w:space="1" w:color="auto"/>
      </w:pBdr>
      <w:tabs>
        <w:tab w:val="left" w:pos="397"/>
        <w:tab w:val="left" w:pos="709"/>
        <w:tab w:val="right" w:pos="8222"/>
      </w:tabs>
      <w:ind w:left="5954" w:firstLine="142"/>
      <w:jc w:val="center"/>
    </w:pPr>
    <w:rPr>
      <w:rFonts w:ascii="Times" w:hAnsi="Times"/>
      <w:i/>
      <w:noProof/>
      <w:sz w:val="21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759D-9DD7-42EA-B083-54602BB7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Samgöngustofa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Eiríkur Þ. Einarsson</dc:creator>
  <cp:lastModifiedBy>Jóhannes Tómasson</cp:lastModifiedBy>
  <cp:revision>2</cp:revision>
  <cp:lastPrinted>2015-02-06T09:58:00Z</cp:lastPrinted>
  <dcterms:created xsi:type="dcterms:W3CDTF">2015-02-06T16:55:00Z</dcterms:created>
  <dcterms:modified xsi:type="dcterms:W3CDTF">2015-02-06T16:55:00Z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Tillaga að breytingu á reglugerð nr. 348/2007 um notkun öryggis- og verndarbúnaðar í ökutækjum.</vt:lpwstr>
  </property>
  <property fmtid="{D5CDD505-2E9C-101B-9397-08002B2CF9AE}" pid="3" name="One_Number">
    <vt:lpwstr>1410680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Daníel Reynisson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0.21</vt:lpwstr>
  </property>
</Properties>
</file>